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F4BA0" w14:textId="20A01DF4" w:rsidR="009A3767" w:rsidRPr="008B7382" w:rsidRDefault="009812A8" w:rsidP="008B7382">
      <w:pPr>
        <w:jc w:val="center"/>
        <w:rPr>
          <w:b/>
        </w:rPr>
      </w:pPr>
      <w:r>
        <w:rPr>
          <w:b/>
        </w:rPr>
        <w:t>202</w:t>
      </w:r>
      <w:r w:rsidR="00B679FE">
        <w:rPr>
          <w:b/>
        </w:rPr>
        <w:t>5</w:t>
      </w:r>
      <w:r w:rsidR="007A7349">
        <w:rPr>
          <w:b/>
        </w:rPr>
        <w:t xml:space="preserve"> </w:t>
      </w:r>
      <w:r w:rsidR="009A3767" w:rsidRPr="008B7382">
        <w:rPr>
          <w:b/>
        </w:rPr>
        <w:t xml:space="preserve">YNHH Physician Residents receive a comprehensive benefits package. </w:t>
      </w:r>
      <w:r w:rsidR="009A3767" w:rsidRPr="008B7382">
        <w:rPr>
          <w:b/>
        </w:rPr>
        <w:br/>
        <w:t>The following is a summary of the various employee benefits and other programs offered.</w:t>
      </w:r>
    </w:p>
    <w:p w14:paraId="5DE51AFB" w14:textId="77777777" w:rsidR="000D0AF7" w:rsidRDefault="000D0AF7" w:rsidP="009A3767">
      <w:pPr>
        <w:pStyle w:val="BasicParagraph"/>
        <w:tabs>
          <w:tab w:val="left" w:pos="3440"/>
        </w:tabs>
        <w:suppressAutoHyphens/>
        <w:spacing w:before="360"/>
        <w:rPr>
          <w:rFonts w:ascii="TradeGothic-BoldTwo" w:hAnsi="TradeGothic-BoldTwo" w:cs="TradeGothic-BoldTwo"/>
          <w:b/>
          <w:bCs/>
          <w:color w:val="00B5EF"/>
          <w:sz w:val="18"/>
          <w:szCs w:val="18"/>
        </w:rPr>
      </w:pPr>
    </w:p>
    <w:p w14:paraId="3948F191" w14:textId="77777777" w:rsidR="009A3767" w:rsidRDefault="009A3767" w:rsidP="009A3767">
      <w:pPr>
        <w:pStyle w:val="BasicParagraph"/>
        <w:tabs>
          <w:tab w:val="left" w:pos="3440"/>
        </w:tabs>
        <w:suppressAutoHyphens/>
        <w:spacing w:before="360"/>
        <w:rPr>
          <w:rFonts w:ascii="TradeGothic-BoldTwo" w:hAnsi="TradeGothic-BoldTwo" w:cs="TradeGothic-BoldTwo"/>
          <w:b/>
          <w:bCs/>
          <w:color w:val="00B5EF"/>
          <w:sz w:val="18"/>
          <w:szCs w:val="18"/>
        </w:rPr>
      </w:pPr>
      <w:r>
        <w:rPr>
          <w:rFonts w:ascii="TradeGothic-BoldTwo" w:hAnsi="TradeGothic-BoldTwo" w:cs="TradeGothic-BoldTwo"/>
          <w:b/>
          <w:bCs/>
          <w:color w:val="00B5EF"/>
          <w:sz w:val="18"/>
          <w:szCs w:val="18"/>
        </w:rPr>
        <w:t>Benefit Plans</w:t>
      </w:r>
    </w:p>
    <w:p w14:paraId="3E680E1C" w14:textId="77777777" w:rsidR="009A3767" w:rsidRDefault="009A3767" w:rsidP="009A3767">
      <w:pPr>
        <w:pStyle w:val="BasicParagraph"/>
        <w:tabs>
          <w:tab w:val="left" w:pos="3440"/>
        </w:tabs>
        <w:suppressAutoHyphens/>
        <w:spacing w:before="40"/>
        <w:rPr>
          <w:rFonts w:ascii="TradeGothic-Light" w:hAnsi="TradeGothic-Light" w:cs="TradeGothic-Light"/>
          <w:sz w:val="18"/>
          <w:szCs w:val="18"/>
        </w:rPr>
      </w:pPr>
      <w:r>
        <w:rPr>
          <w:rFonts w:ascii="TradeGothic-Light" w:hAnsi="TradeGothic-Light" w:cs="TradeGothic-Light"/>
          <w:sz w:val="18"/>
          <w:szCs w:val="18"/>
        </w:rPr>
        <w:t>Physician Residents who are scheduled to work 24 hours or more per week become eligible for health care (medical, prescription drug, vision &amp; dental) coverage on their hire date.</w:t>
      </w:r>
    </w:p>
    <w:p w14:paraId="38F2181F" w14:textId="77777777" w:rsidR="009A3767" w:rsidRDefault="009A3767" w:rsidP="009A3767">
      <w:pPr>
        <w:pStyle w:val="BasicParagraph"/>
        <w:tabs>
          <w:tab w:val="left" w:pos="3440"/>
        </w:tabs>
        <w:suppressAutoHyphens/>
        <w:spacing w:before="300"/>
        <w:rPr>
          <w:rFonts w:ascii="TradeGothic-BoldTwo" w:hAnsi="TradeGothic-BoldTwo" w:cs="TradeGothic-BoldTwo"/>
          <w:b/>
          <w:bCs/>
          <w:sz w:val="18"/>
          <w:szCs w:val="18"/>
        </w:rPr>
      </w:pPr>
      <w:r>
        <w:rPr>
          <w:rFonts w:ascii="TradeGothic-BoldTwo" w:hAnsi="TradeGothic-BoldTwo" w:cs="TradeGothic-BoldTwo"/>
          <w:b/>
          <w:bCs/>
          <w:sz w:val="18"/>
          <w:szCs w:val="18"/>
        </w:rPr>
        <w:t>Medical Plan - No Cost</w:t>
      </w:r>
    </w:p>
    <w:p w14:paraId="3A942FD5" w14:textId="77777777" w:rsidR="00706A76" w:rsidRDefault="009A3767" w:rsidP="005A3FA4">
      <w:pPr>
        <w:pStyle w:val="Bullets"/>
        <w:jc w:val="both"/>
      </w:pPr>
      <w:r>
        <w:t xml:space="preserve">Yale New Haven Health (YNHHS) </w:t>
      </w:r>
      <w:r w:rsidR="00706A76">
        <w:t xml:space="preserve">Medical </w:t>
      </w:r>
      <w:r>
        <w:t xml:space="preserve">Plan offers in and out-of-network options. Preventive care services covered at 100%, no </w:t>
      </w:r>
      <w:r w:rsidR="00706A76">
        <w:t>copay. Primary</w:t>
      </w:r>
    </w:p>
    <w:p w14:paraId="61FBDEA9" w14:textId="37126D03" w:rsidR="00706A76" w:rsidRDefault="009A3767" w:rsidP="005A3FA4">
      <w:pPr>
        <w:pStyle w:val="Bullets"/>
        <w:jc w:val="both"/>
      </w:pPr>
      <w:r>
        <w:t>Care office visits copay at $</w:t>
      </w:r>
      <w:r w:rsidR="007A7349">
        <w:t>20</w:t>
      </w:r>
      <w:r>
        <w:t xml:space="preserve"> (</w:t>
      </w:r>
      <w:r w:rsidR="00706A76">
        <w:t>Signature/Tier 1 p</w:t>
      </w:r>
      <w:r>
        <w:t>rovider)/$</w:t>
      </w:r>
      <w:r w:rsidR="007A7349">
        <w:t>40</w:t>
      </w:r>
      <w:r>
        <w:t xml:space="preserve"> (</w:t>
      </w:r>
      <w:r w:rsidR="00A51F2D">
        <w:t>Cigna</w:t>
      </w:r>
      <w:r>
        <w:t xml:space="preserve"> provider); Specialists at $</w:t>
      </w:r>
      <w:r w:rsidR="007A7349">
        <w:t>35</w:t>
      </w:r>
      <w:r w:rsidR="00706A76">
        <w:t xml:space="preserve"> (Tier 1) and $</w:t>
      </w:r>
      <w:r w:rsidR="007A7349">
        <w:t>6</w:t>
      </w:r>
      <w:r w:rsidR="00706A76">
        <w:t>0 (</w:t>
      </w:r>
      <w:r w:rsidR="00A51F2D">
        <w:t>Cigna</w:t>
      </w:r>
      <w:r w:rsidR="00706A76">
        <w:t xml:space="preserve"> provider).</w:t>
      </w:r>
    </w:p>
    <w:p w14:paraId="1699E2E5" w14:textId="77777777" w:rsidR="00706A76" w:rsidRDefault="009A3767" w:rsidP="005A3FA4">
      <w:pPr>
        <w:pStyle w:val="Bullets"/>
        <w:jc w:val="both"/>
      </w:pPr>
      <w:r>
        <w:t xml:space="preserve">Services billed by YNHHS have flat copays. For all other in-network services (not billed by YNHHS), there is an </w:t>
      </w:r>
      <w:r w:rsidR="00706A76">
        <w:t>in-network annual deductible of</w:t>
      </w:r>
    </w:p>
    <w:p w14:paraId="28A23B71" w14:textId="77777777" w:rsidR="00706A76" w:rsidRDefault="009A3767" w:rsidP="005A3FA4">
      <w:pPr>
        <w:pStyle w:val="Bullets"/>
        <w:jc w:val="both"/>
      </w:pPr>
      <w:r>
        <w:t>$</w:t>
      </w:r>
      <w:r w:rsidR="00EE0F3E">
        <w:t>1,750</w:t>
      </w:r>
      <w:r w:rsidR="00706A76">
        <w:t xml:space="preserve"> </w:t>
      </w:r>
      <w:r>
        <w:t>(individual), $</w:t>
      </w:r>
      <w:r w:rsidR="00EE0F3E">
        <w:t>3,500</w:t>
      </w:r>
      <w:r>
        <w:t xml:space="preserve"> (family). Deductible does not apply to preventive care and office visit copays but will apply</w:t>
      </w:r>
      <w:r w:rsidR="00706A76">
        <w:t xml:space="preserve"> to most other services, which</w:t>
      </w:r>
    </w:p>
    <w:p w14:paraId="72CF2621" w14:textId="77777777" w:rsidR="009A3767" w:rsidRDefault="00706A76" w:rsidP="005A3FA4">
      <w:pPr>
        <w:pStyle w:val="Bullets"/>
        <w:jc w:val="both"/>
      </w:pPr>
      <w:r>
        <w:t>a</w:t>
      </w:r>
      <w:r w:rsidR="009A3767">
        <w:t xml:space="preserve">re covered ranging from </w:t>
      </w:r>
      <w:r>
        <w:t>8</w:t>
      </w:r>
      <w:r w:rsidR="009A3767">
        <w:t>0% to 50%.</w:t>
      </w:r>
    </w:p>
    <w:p w14:paraId="0FF6B627" w14:textId="4DF84019" w:rsidR="009A3767" w:rsidRDefault="009A3767" w:rsidP="009A3767">
      <w:pPr>
        <w:pStyle w:val="BasicParagraph"/>
        <w:tabs>
          <w:tab w:val="left" w:pos="3440"/>
        </w:tabs>
        <w:suppressAutoHyphens/>
        <w:spacing w:before="240"/>
        <w:rPr>
          <w:rFonts w:ascii="TradeGothic-Light" w:hAnsi="TradeGothic-Light" w:cs="TradeGothic-Light"/>
          <w:sz w:val="18"/>
          <w:szCs w:val="18"/>
        </w:rPr>
      </w:pPr>
      <w:r>
        <w:rPr>
          <w:rFonts w:ascii="TradeGothic-BoldTwo" w:hAnsi="TradeGothic-BoldTwo" w:cs="TradeGothic-BoldTwo"/>
          <w:b/>
          <w:bCs/>
          <w:sz w:val="18"/>
          <w:szCs w:val="18"/>
        </w:rPr>
        <w:t>Note:</w:t>
      </w:r>
      <w:r>
        <w:rPr>
          <w:rFonts w:ascii="TradeGothic-Light" w:hAnsi="TradeGothic-Light" w:cs="TradeGothic-Light"/>
          <w:sz w:val="18"/>
          <w:szCs w:val="18"/>
        </w:rPr>
        <w:t xml:space="preserve"> </w:t>
      </w:r>
      <w:r w:rsidR="007A7349">
        <w:rPr>
          <w:rFonts w:ascii="TradeGothic-Light" w:hAnsi="TradeGothic-Light" w:cs="TradeGothic-Light"/>
          <w:sz w:val="18"/>
          <w:szCs w:val="18"/>
        </w:rPr>
        <w:t>This plan</w:t>
      </w:r>
      <w:r>
        <w:rPr>
          <w:rFonts w:ascii="TradeGothic-Light" w:hAnsi="TradeGothic-Light" w:cs="TradeGothic-Light"/>
          <w:sz w:val="18"/>
          <w:szCs w:val="18"/>
        </w:rPr>
        <w:t xml:space="preserve"> is a “Preferred </w:t>
      </w:r>
      <w:r w:rsidR="009D1BE3">
        <w:rPr>
          <w:rFonts w:ascii="TradeGothic-Light" w:hAnsi="TradeGothic-Light" w:cs="TradeGothic-Light"/>
          <w:sz w:val="18"/>
          <w:szCs w:val="18"/>
        </w:rPr>
        <w:t>Provider Organization</w:t>
      </w:r>
      <w:r>
        <w:rPr>
          <w:rFonts w:ascii="TradeGothic-Light" w:hAnsi="TradeGothic-Light" w:cs="TradeGothic-Light"/>
          <w:sz w:val="18"/>
          <w:szCs w:val="18"/>
        </w:rPr>
        <w:t>” (PPO) type of p</w:t>
      </w:r>
      <w:r w:rsidR="00706A76">
        <w:rPr>
          <w:rFonts w:ascii="TradeGothic-Light" w:hAnsi="TradeGothic-Light" w:cs="TradeGothic-Light"/>
          <w:sz w:val="18"/>
          <w:szCs w:val="18"/>
        </w:rPr>
        <w:t xml:space="preserve">lan and </w:t>
      </w:r>
      <w:r>
        <w:rPr>
          <w:rFonts w:ascii="TradeGothic-Light" w:hAnsi="TradeGothic-Light" w:cs="TradeGothic-Light"/>
          <w:sz w:val="18"/>
          <w:szCs w:val="18"/>
        </w:rPr>
        <w:t xml:space="preserve">uses the </w:t>
      </w:r>
      <w:r w:rsidR="00A51F2D">
        <w:rPr>
          <w:rFonts w:ascii="TradeGothic-Light" w:hAnsi="TradeGothic-Light" w:cs="TradeGothic-Light"/>
          <w:sz w:val="18"/>
          <w:szCs w:val="18"/>
        </w:rPr>
        <w:t xml:space="preserve">Cigna Open Access Plus </w:t>
      </w:r>
      <w:r>
        <w:rPr>
          <w:rFonts w:ascii="TradeGothic-Light" w:hAnsi="TradeGothic-Light" w:cs="TradeGothic-Light"/>
          <w:sz w:val="18"/>
          <w:szCs w:val="18"/>
        </w:rPr>
        <w:t>network of providers.</w:t>
      </w:r>
    </w:p>
    <w:p w14:paraId="06B6BAE2" w14:textId="718EEBF7" w:rsidR="009A3767" w:rsidRDefault="009A3767" w:rsidP="009A3767">
      <w:pPr>
        <w:pStyle w:val="BasicParagraph"/>
        <w:tabs>
          <w:tab w:val="left" w:pos="3440"/>
        </w:tabs>
        <w:suppressAutoHyphens/>
        <w:spacing w:before="240"/>
        <w:rPr>
          <w:rFonts w:ascii="TradeGothic-Light" w:hAnsi="TradeGothic-Light" w:cs="TradeGothic-Light"/>
          <w:sz w:val="18"/>
          <w:szCs w:val="18"/>
        </w:rPr>
      </w:pPr>
      <w:r>
        <w:rPr>
          <w:rFonts w:ascii="TradeGothic-BoldTwo" w:hAnsi="TradeGothic-BoldTwo" w:cs="TradeGothic-BoldTwo"/>
          <w:b/>
          <w:bCs/>
          <w:sz w:val="18"/>
          <w:szCs w:val="18"/>
        </w:rPr>
        <w:t>Prescription Drug Plan:</w:t>
      </w:r>
      <w:r>
        <w:rPr>
          <w:rFonts w:ascii="TradeGothic-Light" w:hAnsi="TradeGothic-Light" w:cs="TradeGothic-Light"/>
          <w:sz w:val="18"/>
          <w:szCs w:val="18"/>
        </w:rPr>
        <w:t xml:space="preserve"> Employees and dependents covered under either medical plan are covered by our Prescription Drug Plan administered by CVS Caremark. The employee’s charge for a </w:t>
      </w:r>
      <w:r w:rsidR="007A7349">
        <w:rPr>
          <w:rFonts w:ascii="TradeGothic-Light" w:hAnsi="TradeGothic-Light" w:cs="TradeGothic-Light"/>
          <w:sz w:val="18"/>
          <w:szCs w:val="18"/>
        </w:rPr>
        <w:t>30-day</w:t>
      </w:r>
      <w:r>
        <w:rPr>
          <w:rFonts w:ascii="TradeGothic-Light" w:hAnsi="TradeGothic-Light" w:cs="TradeGothic-Light"/>
          <w:sz w:val="18"/>
          <w:szCs w:val="18"/>
        </w:rPr>
        <w:t xml:space="preserve"> supply of a covered prescription is $10 copay* for a generic drug, 20% coinsurance ($35 min*/$80 max) for a brand name drug on the formulary list and 40% coinsurance ($55 min*/$120 max) for brand name drug not on the formulary list. There is also a “Maintenance Choice Program” for maintenance medications which allows members to save money and get up to a </w:t>
      </w:r>
      <w:r w:rsidR="007A7349">
        <w:rPr>
          <w:rFonts w:ascii="TradeGothic-Light" w:hAnsi="TradeGothic-Light" w:cs="TradeGothic-Light"/>
          <w:sz w:val="18"/>
          <w:szCs w:val="18"/>
        </w:rPr>
        <w:t>90-day</w:t>
      </w:r>
      <w:r>
        <w:rPr>
          <w:rFonts w:ascii="TradeGothic-Light" w:hAnsi="TradeGothic-Light" w:cs="TradeGothic-Light"/>
          <w:sz w:val="18"/>
          <w:szCs w:val="18"/>
        </w:rPr>
        <w:t xml:space="preserve"> supply through the CVS Caremark Mail Service Program or at any CVS pharmacy. Members will pay $20 copay* for a generic drug, 20% coinsurance ($70 min*/$150 max) for a brand name drug on the formulary list and 40% coinsurance ($110 min*/$230 max) for brand name drug not on the formulary list. </w:t>
      </w:r>
      <w:r w:rsidR="007A7349">
        <w:rPr>
          <w:rFonts w:ascii="TradeGothic-Light" w:hAnsi="TradeGothic-Light" w:cs="TradeGothic-Light"/>
          <w:sz w:val="18"/>
          <w:szCs w:val="18"/>
        </w:rPr>
        <w:t>High-cost</w:t>
      </w:r>
      <w:r>
        <w:rPr>
          <w:rFonts w:ascii="TradeGothic-Light" w:hAnsi="TradeGothic-Light" w:cs="TradeGothic-Light"/>
          <w:sz w:val="18"/>
          <w:szCs w:val="18"/>
        </w:rPr>
        <w:t xml:space="preserve"> specialty medications can be filled at the YNHHS Outpatient Pharmacy for a $20 copay.</w:t>
      </w:r>
    </w:p>
    <w:p w14:paraId="2B2C12DF" w14:textId="77777777" w:rsidR="009A3767" w:rsidRDefault="009A3767" w:rsidP="009A3767">
      <w:pPr>
        <w:pStyle w:val="BasicParagraph"/>
        <w:tabs>
          <w:tab w:val="left" w:pos="3440"/>
        </w:tabs>
        <w:suppressAutoHyphens/>
        <w:spacing w:before="240"/>
        <w:rPr>
          <w:rFonts w:ascii="TradeGothic-Light" w:hAnsi="TradeGothic-Light" w:cs="TradeGothic-Light"/>
          <w:sz w:val="18"/>
          <w:szCs w:val="18"/>
        </w:rPr>
      </w:pPr>
      <w:r>
        <w:rPr>
          <w:rFonts w:ascii="TradeGothic-Light" w:hAnsi="TradeGothic-Light" w:cs="TradeGothic-Light"/>
          <w:sz w:val="18"/>
          <w:szCs w:val="18"/>
        </w:rPr>
        <w:t>*Minimum Copay – If the actual cost of a drug is less than the minimum copay, the member will pay the lower amount.</w:t>
      </w:r>
    </w:p>
    <w:p w14:paraId="54DCB347" w14:textId="77777777" w:rsidR="009A3767" w:rsidRDefault="009A3767" w:rsidP="009A3767">
      <w:pPr>
        <w:pStyle w:val="BasicParagraph"/>
        <w:tabs>
          <w:tab w:val="left" w:pos="3440"/>
        </w:tabs>
        <w:suppressAutoHyphens/>
        <w:spacing w:before="300"/>
        <w:rPr>
          <w:rFonts w:ascii="TradeGothic-BoldTwo" w:hAnsi="TradeGothic-BoldTwo" w:cs="TradeGothic-BoldTwo"/>
          <w:b/>
          <w:bCs/>
          <w:sz w:val="18"/>
          <w:szCs w:val="18"/>
        </w:rPr>
      </w:pPr>
      <w:r>
        <w:rPr>
          <w:rFonts w:ascii="TradeGothic-BoldTwo" w:hAnsi="TradeGothic-BoldTwo" w:cs="TradeGothic-BoldTwo"/>
          <w:b/>
          <w:bCs/>
          <w:sz w:val="18"/>
          <w:szCs w:val="18"/>
        </w:rPr>
        <w:t>Dental Plan options</w:t>
      </w:r>
    </w:p>
    <w:p w14:paraId="31D68276" w14:textId="77777777" w:rsidR="009A3767" w:rsidRDefault="009A3767" w:rsidP="005A3FA4">
      <w:pPr>
        <w:pStyle w:val="Bullets"/>
        <w:numPr>
          <w:ilvl w:val="0"/>
          <w:numId w:val="2"/>
        </w:numPr>
        <w:jc w:val="both"/>
      </w:pPr>
      <w:r>
        <w:t xml:space="preserve">Delta Dental Plus Plan covers 100% of preventive and 80% of restorative services, 50% of major services, </w:t>
      </w:r>
      <w:r w:rsidR="00706A76">
        <w:t>after a $50</w:t>
      </w:r>
      <w:r w:rsidR="005A3FA4">
        <w:t xml:space="preserve"> </w:t>
      </w:r>
      <w:r>
        <w:t>(</w:t>
      </w:r>
      <w:r w:rsidR="00706A76">
        <w:t>Individual</w:t>
      </w:r>
      <w:r>
        <w:t>), $100 (family) annual deductible</w:t>
      </w:r>
      <w:r w:rsidR="006238FD">
        <w:t xml:space="preserve"> as well as 50% orthodontic services</w:t>
      </w:r>
      <w:r>
        <w:t>. Maximum calendar year benefit $1,700 per person; orthodontic life</w:t>
      </w:r>
      <w:r w:rsidR="00706A76">
        <w:t>time maximum $1,700 per person;</w:t>
      </w:r>
      <w:r w:rsidR="005A3FA4">
        <w:t xml:space="preserve"> </w:t>
      </w:r>
      <w:r>
        <w:t>TMJ lifetime maximum $1,700 per person.</w:t>
      </w:r>
    </w:p>
    <w:p w14:paraId="0D57B047" w14:textId="77777777" w:rsidR="009A3767" w:rsidRDefault="009A3767" w:rsidP="005A3FA4">
      <w:pPr>
        <w:pStyle w:val="Bullets"/>
        <w:numPr>
          <w:ilvl w:val="0"/>
          <w:numId w:val="2"/>
        </w:numPr>
        <w:jc w:val="both"/>
      </w:pPr>
      <w:r>
        <w:t>Delta Dental Basic Plan covers 100% of preventive and 80% of restorative services after a $50 (single), $100 (fam</w:t>
      </w:r>
      <w:r w:rsidR="00706A76">
        <w:t>ily) annual deductible. Maximum</w:t>
      </w:r>
      <w:r w:rsidR="005A3FA4">
        <w:t xml:space="preserve"> </w:t>
      </w:r>
      <w:r>
        <w:t>calendar year benefit $1,000 per person.</w:t>
      </w:r>
    </w:p>
    <w:p w14:paraId="78124B3D" w14:textId="77777777" w:rsidR="009A3767" w:rsidRDefault="009A3767" w:rsidP="009A3767">
      <w:pPr>
        <w:pStyle w:val="BasicParagraph"/>
        <w:tabs>
          <w:tab w:val="left" w:pos="3440"/>
        </w:tabs>
        <w:suppressAutoHyphens/>
        <w:spacing w:before="240"/>
        <w:rPr>
          <w:rFonts w:ascii="TradeGothic-Light" w:hAnsi="TradeGothic-Light" w:cs="TradeGothic-Light"/>
          <w:sz w:val="18"/>
          <w:szCs w:val="18"/>
        </w:rPr>
      </w:pPr>
      <w:r>
        <w:rPr>
          <w:rFonts w:ascii="TradeGothic-BoldTwo" w:hAnsi="TradeGothic-BoldTwo" w:cs="TradeGothic-BoldTwo"/>
          <w:b/>
          <w:bCs/>
          <w:sz w:val="18"/>
          <w:szCs w:val="18"/>
        </w:rPr>
        <w:t xml:space="preserve">Vision Service Plan (VSP): </w:t>
      </w:r>
      <w:r>
        <w:rPr>
          <w:rFonts w:ascii="TradeGothic-Light" w:hAnsi="TradeGothic-Light" w:cs="TradeGothic-Light"/>
          <w:sz w:val="18"/>
          <w:szCs w:val="18"/>
        </w:rPr>
        <w:t xml:space="preserve">Eligible Physician Residents have the option to elect vision coverage through VSP which covers 1 eye exam (every 12 months) for $15 copay, lenses (every 12 months) for $15 copay and frames (every 24 months) or contacts (every 12 months) up to a $155 allowance. Going to an in-network provider will provide the highest level of coverage plus extra discounts. </w:t>
      </w:r>
      <w:r w:rsidR="00422FEC">
        <w:rPr>
          <w:rFonts w:ascii="TradeGothic-Light" w:hAnsi="TradeGothic-Light" w:cs="TradeGothic-Light"/>
          <w:sz w:val="18"/>
          <w:szCs w:val="18"/>
        </w:rPr>
        <w:t>Physician</w:t>
      </w:r>
      <w:r>
        <w:rPr>
          <w:rFonts w:ascii="TradeGothic-Light" w:hAnsi="TradeGothic-Light" w:cs="TradeGothic-Light"/>
          <w:sz w:val="18"/>
          <w:szCs w:val="18"/>
        </w:rPr>
        <w:t xml:space="preserve"> Residents also have the option to select an enhanced Vision benefit providing up to $250 coverage on select vision services.</w:t>
      </w:r>
    </w:p>
    <w:p w14:paraId="70DD4CE2" w14:textId="77777777" w:rsidR="009A3767" w:rsidRDefault="009A3767" w:rsidP="009A3767">
      <w:pPr>
        <w:pStyle w:val="BasicParagraph"/>
        <w:tabs>
          <w:tab w:val="left" w:pos="3440"/>
        </w:tabs>
        <w:suppressAutoHyphens/>
        <w:spacing w:before="240"/>
        <w:rPr>
          <w:rFonts w:ascii="TradeGothic-Light" w:hAnsi="TradeGothic-Light" w:cs="TradeGothic-Light"/>
          <w:sz w:val="18"/>
          <w:szCs w:val="18"/>
        </w:rPr>
      </w:pPr>
      <w:r>
        <w:rPr>
          <w:rFonts w:ascii="TradeGothic-BoldTwo" w:hAnsi="TradeGothic-BoldTwo" w:cs="TradeGothic-BoldTwo"/>
          <w:b/>
          <w:bCs/>
          <w:sz w:val="18"/>
          <w:szCs w:val="18"/>
        </w:rPr>
        <w:t xml:space="preserve">Employee Life Insurance: </w:t>
      </w:r>
      <w:r>
        <w:rPr>
          <w:rFonts w:ascii="TradeGothic-Light" w:hAnsi="TradeGothic-Light" w:cs="TradeGothic-Light"/>
          <w:sz w:val="18"/>
          <w:szCs w:val="18"/>
        </w:rPr>
        <w:t>On their hire date, Physician Residents scheduled to work 24 hours or more per week are covered for Basic Life insurance coverage equal to $100,000.</w:t>
      </w:r>
    </w:p>
    <w:p w14:paraId="74DB5F54" w14:textId="47E947D7" w:rsidR="009A3767" w:rsidRDefault="009A3767" w:rsidP="009A3767">
      <w:pPr>
        <w:pStyle w:val="BasicParagraph"/>
        <w:tabs>
          <w:tab w:val="left" w:pos="3440"/>
        </w:tabs>
        <w:suppressAutoHyphens/>
        <w:spacing w:before="240"/>
        <w:rPr>
          <w:rFonts w:ascii="TradeGothic-Light" w:hAnsi="TradeGothic-Light" w:cs="TradeGothic-Light"/>
          <w:sz w:val="18"/>
          <w:szCs w:val="18"/>
        </w:rPr>
      </w:pPr>
      <w:r>
        <w:rPr>
          <w:rFonts w:ascii="TradeGothic-BoldTwo" w:hAnsi="TradeGothic-BoldTwo" w:cs="TradeGothic-BoldTwo"/>
          <w:b/>
          <w:bCs/>
          <w:sz w:val="18"/>
          <w:szCs w:val="18"/>
        </w:rPr>
        <w:t xml:space="preserve">Flexible Spending Accounts (FSA): </w:t>
      </w:r>
      <w:r>
        <w:rPr>
          <w:rFonts w:ascii="TradeGothic-Light" w:hAnsi="TradeGothic-Light" w:cs="TradeGothic-Light"/>
          <w:sz w:val="18"/>
          <w:szCs w:val="18"/>
        </w:rPr>
        <w:t>Each year P</w:t>
      </w:r>
      <w:r w:rsidR="00EE0F3E">
        <w:rPr>
          <w:rFonts w:ascii="TradeGothic-Light" w:hAnsi="TradeGothic-Light" w:cs="TradeGothic-Light"/>
          <w:sz w:val="18"/>
          <w:szCs w:val="18"/>
        </w:rPr>
        <w:t>hysician</w:t>
      </w:r>
      <w:r>
        <w:rPr>
          <w:rFonts w:ascii="TradeGothic-Light" w:hAnsi="TradeGothic-Light" w:cs="TradeGothic-Light"/>
          <w:sz w:val="18"/>
          <w:szCs w:val="18"/>
        </w:rPr>
        <w:t xml:space="preserve"> Residents eligible for benefits may elect to have a portion of their salary deducted on a before-tax basis to pay for out- of-pocket health care and/or dependent day care expenses. Such FSA contributions reduce the amount of gross income subject to Social Security and income taxes. The maximum annual contribution is $</w:t>
      </w:r>
      <w:r w:rsidR="00A51F2D">
        <w:rPr>
          <w:rFonts w:ascii="TradeGothic-Light" w:hAnsi="TradeGothic-Light" w:cs="TradeGothic-Light"/>
          <w:sz w:val="18"/>
          <w:szCs w:val="18"/>
        </w:rPr>
        <w:t>3</w:t>
      </w:r>
      <w:r w:rsidR="007A7349">
        <w:rPr>
          <w:rFonts w:ascii="TradeGothic-Light" w:hAnsi="TradeGothic-Light" w:cs="TradeGothic-Light"/>
          <w:sz w:val="18"/>
          <w:szCs w:val="18"/>
        </w:rPr>
        <w:t>,</w:t>
      </w:r>
      <w:r w:rsidR="00B679FE">
        <w:rPr>
          <w:rFonts w:ascii="TradeGothic-Light" w:hAnsi="TradeGothic-Light" w:cs="TradeGothic-Light"/>
          <w:sz w:val="18"/>
          <w:szCs w:val="18"/>
        </w:rPr>
        <w:t>3</w:t>
      </w:r>
      <w:r w:rsidR="007A7349">
        <w:rPr>
          <w:rFonts w:ascii="TradeGothic-Light" w:hAnsi="TradeGothic-Light" w:cs="TradeGothic-Light"/>
          <w:sz w:val="18"/>
          <w:szCs w:val="18"/>
        </w:rPr>
        <w:t>00</w:t>
      </w:r>
      <w:r>
        <w:rPr>
          <w:rFonts w:ascii="TradeGothic-Light" w:hAnsi="TradeGothic-Light" w:cs="TradeGothic-Light"/>
          <w:sz w:val="18"/>
          <w:szCs w:val="18"/>
        </w:rPr>
        <w:t xml:space="preserve"> for the Health Care FSA and $5,000 for the Dependent Care FSA. Health Care FSA has a carryover feature which allows you “carry over” a maximum amount of $</w:t>
      </w:r>
      <w:r w:rsidR="00225AF4">
        <w:rPr>
          <w:rFonts w:ascii="TradeGothic-Light" w:hAnsi="TradeGothic-Light" w:cs="TradeGothic-Light"/>
          <w:sz w:val="18"/>
          <w:szCs w:val="18"/>
        </w:rPr>
        <w:t>6</w:t>
      </w:r>
      <w:r w:rsidR="00B679FE">
        <w:rPr>
          <w:rFonts w:ascii="TradeGothic-Light" w:hAnsi="TradeGothic-Light" w:cs="TradeGothic-Light"/>
          <w:sz w:val="18"/>
          <w:szCs w:val="18"/>
        </w:rPr>
        <w:t>6</w:t>
      </w:r>
      <w:r w:rsidR="00A51F2D">
        <w:rPr>
          <w:rFonts w:ascii="TradeGothic-Light" w:hAnsi="TradeGothic-Light" w:cs="TradeGothic-Light"/>
          <w:sz w:val="18"/>
          <w:szCs w:val="18"/>
        </w:rPr>
        <w:t>0</w:t>
      </w:r>
      <w:r>
        <w:rPr>
          <w:rFonts w:ascii="TradeGothic-Light" w:hAnsi="TradeGothic-Light" w:cs="TradeGothic-Light"/>
          <w:sz w:val="18"/>
          <w:szCs w:val="18"/>
        </w:rPr>
        <w:t xml:space="preserve"> of unused health care FSA funds. Funds can be used through the end of the following plan year (1/1/2</w:t>
      </w:r>
      <w:r w:rsidR="00B679FE">
        <w:rPr>
          <w:rFonts w:ascii="TradeGothic-Light" w:hAnsi="TradeGothic-Light" w:cs="TradeGothic-Light"/>
          <w:sz w:val="18"/>
          <w:szCs w:val="18"/>
        </w:rPr>
        <w:t>6</w:t>
      </w:r>
      <w:r>
        <w:rPr>
          <w:rFonts w:ascii="TradeGothic-Light" w:hAnsi="TradeGothic-Light" w:cs="TradeGothic-Light"/>
          <w:sz w:val="18"/>
          <w:szCs w:val="18"/>
        </w:rPr>
        <w:t xml:space="preserve"> - 12/31/2</w:t>
      </w:r>
      <w:r w:rsidR="00B679FE">
        <w:rPr>
          <w:rFonts w:ascii="TradeGothic-Light" w:hAnsi="TradeGothic-Light" w:cs="TradeGothic-Light"/>
          <w:sz w:val="18"/>
          <w:szCs w:val="18"/>
        </w:rPr>
        <w:t>6</w:t>
      </w:r>
      <w:r>
        <w:rPr>
          <w:rFonts w:ascii="TradeGothic-Light" w:hAnsi="TradeGothic-Light" w:cs="TradeGothic-Light"/>
          <w:sz w:val="18"/>
          <w:szCs w:val="18"/>
        </w:rPr>
        <w:t>)</w:t>
      </w:r>
      <w:r w:rsidR="00706A76">
        <w:rPr>
          <w:rFonts w:ascii="TradeGothic-Light" w:hAnsi="TradeGothic-Light" w:cs="TradeGothic-Light"/>
          <w:sz w:val="18"/>
          <w:szCs w:val="18"/>
        </w:rPr>
        <w:t xml:space="preserve"> if </w:t>
      </w:r>
      <w:r w:rsidR="008E5597">
        <w:rPr>
          <w:rFonts w:ascii="TradeGothic-Light" w:hAnsi="TradeGothic-Light" w:cs="TradeGothic-Light"/>
          <w:sz w:val="18"/>
          <w:szCs w:val="18"/>
        </w:rPr>
        <w:t xml:space="preserve">your </w:t>
      </w:r>
      <w:r w:rsidR="00706A76">
        <w:rPr>
          <w:rFonts w:ascii="TradeGothic-Light" w:hAnsi="TradeGothic-Light" w:cs="TradeGothic-Light"/>
          <w:sz w:val="18"/>
          <w:szCs w:val="18"/>
        </w:rPr>
        <w:t>employment continues with YNHHS</w:t>
      </w:r>
      <w:r>
        <w:rPr>
          <w:rFonts w:ascii="TradeGothic-Light" w:hAnsi="TradeGothic-Light" w:cs="TradeGothic-Light"/>
          <w:sz w:val="18"/>
          <w:szCs w:val="18"/>
        </w:rPr>
        <w:t>.</w:t>
      </w:r>
    </w:p>
    <w:p w14:paraId="1EE502A4" w14:textId="77777777" w:rsidR="005A3FA4" w:rsidRDefault="005A3FA4" w:rsidP="009A3767">
      <w:pPr>
        <w:pStyle w:val="BasicParagraph"/>
        <w:tabs>
          <w:tab w:val="left" w:pos="3440"/>
        </w:tabs>
        <w:suppressAutoHyphens/>
        <w:spacing w:before="360"/>
        <w:rPr>
          <w:rFonts w:ascii="TradeGothic-BoldTwo" w:hAnsi="TradeGothic-BoldTwo" w:cs="TradeGothic-BoldTwo"/>
          <w:b/>
          <w:bCs/>
          <w:color w:val="00B5EF"/>
          <w:sz w:val="18"/>
          <w:szCs w:val="18"/>
        </w:rPr>
      </w:pPr>
    </w:p>
    <w:p w14:paraId="52A3216C" w14:textId="77777777" w:rsidR="005A3FA4" w:rsidRDefault="005A3FA4" w:rsidP="009A3767">
      <w:pPr>
        <w:pStyle w:val="BasicParagraph"/>
        <w:tabs>
          <w:tab w:val="left" w:pos="3440"/>
        </w:tabs>
        <w:suppressAutoHyphens/>
        <w:spacing w:before="360"/>
        <w:rPr>
          <w:rFonts w:ascii="TradeGothic-BoldTwo" w:hAnsi="TradeGothic-BoldTwo" w:cs="TradeGothic-BoldTwo"/>
          <w:b/>
          <w:bCs/>
          <w:color w:val="00B5EF"/>
          <w:sz w:val="18"/>
          <w:szCs w:val="18"/>
        </w:rPr>
      </w:pPr>
    </w:p>
    <w:p w14:paraId="57460FE3" w14:textId="77777777" w:rsidR="009A3767" w:rsidRDefault="009A3767" w:rsidP="009A3767">
      <w:pPr>
        <w:pStyle w:val="BasicParagraph"/>
        <w:tabs>
          <w:tab w:val="left" w:pos="3440"/>
        </w:tabs>
        <w:suppressAutoHyphens/>
        <w:spacing w:before="360"/>
        <w:rPr>
          <w:rFonts w:ascii="TradeGothic-BoldTwo" w:hAnsi="TradeGothic-BoldTwo" w:cs="TradeGothic-BoldTwo"/>
          <w:b/>
          <w:bCs/>
          <w:color w:val="00B5EF"/>
          <w:sz w:val="18"/>
          <w:szCs w:val="18"/>
        </w:rPr>
      </w:pPr>
      <w:r>
        <w:rPr>
          <w:rFonts w:ascii="TradeGothic-BoldTwo" w:hAnsi="TradeGothic-BoldTwo" w:cs="TradeGothic-BoldTwo"/>
          <w:b/>
          <w:bCs/>
          <w:color w:val="00B5EF"/>
          <w:sz w:val="18"/>
          <w:szCs w:val="18"/>
        </w:rPr>
        <w:lastRenderedPageBreak/>
        <w:t>Retirement Security program</w:t>
      </w:r>
    </w:p>
    <w:p w14:paraId="35DC67A2" w14:textId="77777777" w:rsidR="009A3767" w:rsidRDefault="009A3767" w:rsidP="009A3767">
      <w:pPr>
        <w:pStyle w:val="BasicParagraph"/>
        <w:tabs>
          <w:tab w:val="left" w:pos="3440"/>
        </w:tabs>
        <w:suppressAutoHyphens/>
        <w:spacing w:before="40"/>
        <w:rPr>
          <w:rFonts w:ascii="TradeGothic-Light" w:hAnsi="TradeGothic-Light" w:cs="TradeGothic-Light"/>
          <w:sz w:val="18"/>
          <w:szCs w:val="18"/>
        </w:rPr>
      </w:pPr>
      <w:r>
        <w:rPr>
          <w:rFonts w:ascii="TradeGothic-Light" w:hAnsi="TradeGothic-Light" w:cs="TradeGothic-Light"/>
          <w:sz w:val="18"/>
          <w:szCs w:val="18"/>
        </w:rPr>
        <w:t>Physician Residents are eligible to participate in the Retirement Savings Plan. If you contribute at least 5% of your pay to the YNHH 403(b) Plan, you receive a 3% match. New benefits</w:t>
      </w:r>
      <w:r w:rsidR="008E5597">
        <w:rPr>
          <w:rFonts w:ascii="TradeGothic-Light" w:hAnsi="TradeGothic-Light" w:cs="TradeGothic-Light"/>
          <w:sz w:val="18"/>
          <w:szCs w:val="18"/>
        </w:rPr>
        <w:t>-</w:t>
      </w:r>
      <w:r>
        <w:rPr>
          <w:rFonts w:ascii="TradeGothic-Light" w:hAnsi="TradeGothic-Light" w:cs="TradeGothic-Light"/>
          <w:sz w:val="18"/>
          <w:szCs w:val="18"/>
        </w:rPr>
        <w:t>eligible Physician Residents will automatically be enrolled in the 403(b) Plan for a 2% contribution after 60 days of employment. You can increase or decrease the contribution at any time.</w:t>
      </w:r>
    </w:p>
    <w:p w14:paraId="63808878" w14:textId="77777777" w:rsidR="009A3767" w:rsidRDefault="009A3767" w:rsidP="009A3767">
      <w:pPr>
        <w:pStyle w:val="BasicParagraph"/>
        <w:tabs>
          <w:tab w:val="left" w:pos="3440"/>
        </w:tabs>
        <w:suppressAutoHyphens/>
        <w:spacing w:before="40"/>
        <w:rPr>
          <w:rFonts w:ascii="TradeGothic-Bold" w:hAnsi="TradeGothic-Bold" w:cs="TradeGothic-Bold"/>
          <w:b/>
          <w:bCs/>
          <w:sz w:val="18"/>
          <w:szCs w:val="18"/>
        </w:rPr>
      </w:pPr>
      <w:r>
        <w:rPr>
          <w:rFonts w:ascii="TradeGothic-Bold" w:hAnsi="TradeGothic-Bold" w:cs="TradeGothic-Bold"/>
          <w:b/>
          <w:bCs/>
          <w:sz w:val="18"/>
          <w:szCs w:val="18"/>
        </w:rPr>
        <w:t>You must wait until after your 1st YNHH paycheck to enroll in the Retirement Savings Plan for your contribution to be effective.</w:t>
      </w:r>
    </w:p>
    <w:p w14:paraId="55003C88" w14:textId="77777777" w:rsidR="009A3767" w:rsidRDefault="009A3767" w:rsidP="009A3767">
      <w:pPr>
        <w:pStyle w:val="SubheadBlue"/>
      </w:pPr>
      <w:r>
        <w:t>Salary Continuation plans</w:t>
      </w:r>
    </w:p>
    <w:p w14:paraId="051F1E8D" w14:textId="77777777" w:rsidR="009A3767" w:rsidRDefault="009A3767" w:rsidP="009A3767">
      <w:pPr>
        <w:pStyle w:val="BasicParagraph"/>
        <w:tabs>
          <w:tab w:val="left" w:pos="3440"/>
        </w:tabs>
        <w:suppressAutoHyphens/>
        <w:spacing w:before="40"/>
        <w:rPr>
          <w:rFonts w:ascii="TradeGothic-Light" w:hAnsi="TradeGothic-Light" w:cs="TradeGothic-Light"/>
          <w:sz w:val="18"/>
          <w:szCs w:val="18"/>
        </w:rPr>
      </w:pPr>
      <w:r>
        <w:rPr>
          <w:rFonts w:ascii="TradeGothic-BoldTwo" w:hAnsi="TradeGothic-BoldTwo" w:cs="TradeGothic-BoldTwo"/>
          <w:b/>
          <w:bCs/>
          <w:sz w:val="18"/>
          <w:szCs w:val="18"/>
        </w:rPr>
        <w:t>Long-Term Disability Plan:</w:t>
      </w:r>
      <w:r>
        <w:rPr>
          <w:rFonts w:ascii="TradeGothic-Light" w:hAnsi="TradeGothic-Light" w:cs="TradeGothic-Light"/>
          <w:sz w:val="18"/>
          <w:szCs w:val="18"/>
        </w:rPr>
        <w:t xml:space="preserve"> Full-time Physician Residents (scheduled to work at least 36 hours per week) are automatically covered by the Long-Term Disability (LTD) Plan. The LTD Plan provides a monthly benefit of </w:t>
      </w:r>
      <w:r w:rsidR="000603D3">
        <w:rPr>
          <w:rFonts w:ascii="TradeGothic-Light" w:hAnsi="TradeGothic-Light" w:cs="TradeGothic-Light"/>
          <w:sz w:val="18"/>
          <w:szCs w:val="18"/>
        </w:rPr>
        <w:t>7</w:t>
      </w:r>
      <w:r>
        <w:rPr>
          <w:rFonts w:ascii="TradeGothic-Light" w:hAnsi="TradeGothic-Light" w:cs="TradeGothic-Light"/>
          <w:sz w:val="18"/>
          <w:szCs w:val="18"/>
        </w:rPr>
        <w:t>0% of base salary to a maximum of $</w:t>
      </w:r>
      <w:r w:rsidR="000603D3">
        <w:rPr>
          <w:rFonts w:ascii="TradeGothic-Light" w:hAnsi="TradeGothic-Light" w:cs="TradeGothic-Light"/>
          <w:sz w:val="18"/>
          <w:szCs w:val="18"/>
        </w:rPr>
        <w:t>5</w:t>
      </w:r>
      <w:r>
        <w:rPr>
          <w:rFonts w:ascii="TradeGothic-Light" w:hAnsi="TradeGothic-Light" w:cs="TradeGothic-Light"/>
          <w:sz w:val="18"/>
          <w:szCs w:val="18"/>
        </w:rPr>
        <w:t>,000/month.</w:t>
      </w:r>
    </w:p>
    <w:p w14:paraId="15E3C557" w14:textId="77777777" w:rsidR="009A3767" w:rsidRDefault="009A3767" w:rsidP="009A3767">
      <w:pPr>
        <w:pStyle w:val="BasicParagraph"/>
        <w:tabs>
          <w:tab w:val="left" w:pos="3440"/>
        </w:tabs>
        <w:suppressAutoHyphens/>
        <w:spacing w:before="360"/>
        <w:rPr>
          <w:rFonts w:ascii="TradeGothic-BoldTwo" w:hAnsi="TradeGothic-BoldTwo" w:cs="TradeGothic-BoldTwo"/>
          <w:b/>
          <w:bCs/>
          <w:color w:val="00B5EF"/>
          <w:sz w:val="18"/>
          <w:szCs w:val="18"/>
        </w:rPr>
      </w:pPr>
      <w:r>
        <w:rPr>
          <w:rFonts w:ascii="TradeGothic-BoldTwo" w:hAnsi="TradeGothic-BoldTwo" w:cs="TradeGothic-BoldTwo"/>
          <w:b/>
          <w:bCs/>
          <w:color w:val="00B5EF"/>
          <w:sz w:val="18"/>
          <w:szCs w:val="18"/>
        </w:rPr>
        <w:t>Additional programs</w:t>
      </w:r>
    </w:p>
    <w:p w14:paraId="5E166455" w14:textId="77777777" w:rsidR="009A3767" w:rsidRDefault="009A3767" w:rsidP="009A3767">
      <w:pPr>
        <w:pStyle w:val="BasicParagraph"/>
        <w:tabs>
          <w:tab w:val="left" w:pos="3440"/>
        </w:tabs>
        <w:suppressAutoHyphens/>
        <w:spacing w:before="40"/>
        <w:rPr>
          <w:rFonts w:ascii="TradeGothic-Light" w:hAnsi="TradeGothic-Light" w:cs="TradeGothic-Light"/>
          <w:sz w:val="18"/>
          <w:szCs w:val="18"/>
        </w:rPr>
      </w:pPr>
      <w:r>
        <w:rPr>
          <w:rFonts w:ascii="TradeGothic-Bold" w:hAnsi="TradeGothic-Bold" w:cs="TradeGothic-Bold"/>
          <w:b/>
          <w:bCs/>
          <w:sz w:val="18"/>
          <w:szCs w:val="18"/>
        </w:rPr>
        <w:t xml:space="preserve">Employee &amp; Family Resources Program: </w:t>
      </w:r>
      <w:r>
        <w:rPr>
          <w:rFonts w:ascii="TradeGothic-Light" w:hAnsi="TradeGothic-Light" w:cs="TradeGothic-Light"/>
          <w:sz w:val="18"/>
          <w:szCs w:val="18"/>
        </w:rPr>
        <w:t>This program combines traditional employee assistance program services, e.g., confidential counseling, with work/life services, for all Physician Residents and their dependents. There are no copays for up to six office visits.</w:t>
      </w:r>
    </w:p>
    <w:p w14:paraId="1C1406E5" w14:textId="77777777" w:rsidR="009A3767" w:rsidRDefault="009A3767" w:rsidP="009A3767">
      <w:pPr>
        <w:pStyle w:val="BasicParagraph"/>
        <w:tabs>
          <w:tab w:val="left" w:pos="3440"/>
        </w:tabs>
        <w:suppressAutoHyphens/>
        <w:spacing w:before="240"/>
        <w:rPr>
          <w:rFonts w:ascii="TradeGothic-Light" w:hAnsi="TradeGothic-Light" w:cs="TradeGothic-Light"/>
          <w:sz w:val="18"/>
          <w:szCs w:val="18"/>
        </w:rPr>
      </w:pPr>
      <w:r>
        <w:rPr>
          <w:rFonts w:ascii="TradeGothic-BoldTwoOblique" w:hAnsi="TradeGothic-BoldTwoOblique" w:cs="TradeGothic-BoldTwoOblique"/>
          <w:b/>
          <w:bCs/>
          <w:i/>
          <w:iCs/>
          <w:sz w:val="18"/>
          <w:szCs w:val="18"/>
        </w:rPr>
        <w:t xml:space="preserve">livingwell </w:t>
      </w:r>
      <w:r>
        <w:rPr>
          <w:rFonts w:ascii="TradeGothic-BoldTwo" w:hAnsi="TradeGothic-BoldTwo" w:cs="TradeGothic-BoldTwo"/>
          <w:b/>
          <w:bCs/>
          <w:sz w:val="18"/>
          <w:szCs w:val="18"/>
        </w:rPr>
        <w:t>Fitness Center:</w:t>
      </w:r>
      <w:r>
        <w:rPr>
          <w:rFonts w:ascii="TradeGothic-Light" w:hAnsi="TradeGothic-Light" w:cs="TradeGothic-Light"/>
          <w:sz w:val="18"/>
          <w:szCs w:val="18"/>
        </w:rPr>
        <w:t xml:space="preserve"> Located at 48 York Street. Membership is $12 per pay period, which includes the full use of the center, most exercise classes and towel service. Paid by payroll deduction. Hours of Oper</w:t>
      </w:r>
      <w:r w:rsidR="008E5597">
        <w:rPr>
          <w:rFonts w:ascii="TradeGothic-Light" w:hAnsi="TradeGothic-Light" w:cs="TradeGothic-Light"/>
          <w:sz w:val="18"/>
          <w:szCs w:val="18"/>
        </w:rPr>
        <w:t xml:space="preserve">ation: Monday - Friday, 5 am - </w:t>
      </w:r>
      <w:r>
        <w:rPr>
          <w:rFonts w:ascii="TradeGothic-Light" w:hAnsi="TradeGothic-Light" w:cs="TradeGothic-Light"/>
          <w:sz w:val="18"/>
          <w:szCs w:val="18"/>
        </w:rPr>
        <w:t>9 pm and Saturday, 5 am - 5 pm.</w:t>
      </w:r>
    </w:p>
    <w:p w14:paraId="475935E4" w14:textId="77777777" w:rsidR="009A3767" w:rsidRDefault="009A3767" w:rsidP="009A3767">
      <w:pPr>
        <w:pStyle w:val="BasicParagraph"/>
        <w:tabs>
          <w:tab w:val="left" w:pos="3440"/>
        </w:tabs>
        <w:suppressAutoHyphens/>
        <w:spacing w:before="240"/>
        <w:rPr>
          <w:rFonts w:ascii="TradeGothic-Light" w:hAnsi="TradeGothic-Light" w:cs="TradeGothic-Light"/>
          <w:sz w:val="18"/>
          <w:szCs w:val="18"/>
        </w:rPr>
      </w:pPr>
      <w:r>
        <w:rPr>
          <w:rFonts w:ascii="TradeGothic-BoldTwo" w:hAnsi="TradeGothic-BoldTwo" w:cs="TradeGothic-BoldTwo"/>
          <w:b/>
          <w:bCs/>
          <w:sz w:val="18"/>
          <w:szCs w:val="18"/>
        </w:rPr>
        <w:t>Parking:</w:t>
      </w:r>
      <w:r>
        <w:rPr>
          <w:rFonts w:ascii="TradeGothic-Light" w:hAnsi="TradeGothic-Light" w:cs="TradeGothic-Light"/>
          <w:sz w:val="18"/>
          <w:szCs w:val="18"/>
        </w:rPr>
        <w:t xml:space="preserve"> Benefits-eligible Physician Residents who wish to take advantage of the parking facilities may pay for their parking through payroll deductions.</w:t>
      </w:r>
    </w:p>
    <w:p w14:paraId="3F4349A9" w14:textId="77777777" w:rsidR="009A3767" w:rsidRDefault="009A3767" w:rsidP="009A3767">
      <w:pPr>
        <w:pStyle w:val="BasicParagraph"/>
        <w:tabs>
          <w:tab w:val="left" w:pos="3440"/>
        </w:tabs>
        <w:suppressAutoHyphens/>
        <w:spacing w:before="240"/>
        <w:rPr>
          <w:rFonts w:ascii="TradeGothic-Light" w:hAnsi="TradeGothic-Light" w:cs="TradeGothic-Light"/>
          <w:sz w:val="18"/>
          <w:szCs w:val="18"/>
        </w:rPr>
      </w:pPr>
      <w:r>
        <w:rPr>
          <w:rFonts w:ascii="TradeGothic-BoldTwo" w:hAnsi="TradeGothic-BoldTwo" w:cs="TradeGothic-BoldTwo"/>
          <w:b/>
          <w:bCs/>
          <w:sz w:val="18"/>
          <w:szCs w:val="18"/>
        </w:rPr>
        <w:t>Financial Benefits Program:</w:t>
      </w:r>
      <w:r>
        <w:rPr>
          <w:rFonts w:ascii="TradeGothic-Light" w:hAnsi="TradeGothic-Light" w:cs="TradeGothic-Light"/>
          <w:sz w:val="18"/>
          <w:szCs w:val="18"/>
        </w:rPr>
        <w:t xml:space="preserve"> Physician Residents are offered a wide range of voluntary financial services programs such as:</w:t>
      </w:r>
    </w:p>
    <w:p w14:paraId="136DA62C" w14:textId="77777777" w:rsidR="009A3767" w:rsidRDefault="009A3767" w:rsidP="005A3FA4">
      <w:pPr>
        <w:pStyle w:val="Bullets"/>
        <w:numPr>
          <w:ilvl w:val="0"/>
          <w:numId w:val="1"/>
        </w:numPr>
      </w:pPr>
      <w:r>
        <w:t>Healthcare Financial Federal Credit Union: Savings, IRAs, checking and other services.</w:t>
      </w:r>
    </w:p>
    <w:p w14:paraId="708CAE4A" w14:textId="77777777" w:rsidR="009A3767" w:rsidRDefault="009A3767" w:rsidP="00EE0F3E">
      <w:pPr>
        <w:pStyle w:val="Bullets"/>
        <w:numPr>
          <w:ilvl w:val="0"/>
          <w:numId w:val="1"/>
        </w:numPr>
      </w:pPr>
      <w:r>
        <w:t xml:space="preserve">Bank of America: Free checking with direct deposit, </w:t>
      </w:r>
      <w:r w:rsidR="008A7A74">
        <w:t>ATMs</w:t>
      </w:r>
      <w:r>
        <w:t xml:space="preserve"> and preferred credit, in addition to all other banking needs.</w:t>
      </w:r>
    </w:p>
    <w:p w14:paraId="60073196" w14:textId="07418B49" w:rsidR="009A3767" w:rsidRDefault="009A3767" w:rsidP="005A3FA4">
      <w:pPr>
        <w:pStyle w:val="Bullets"/>
        <w:numPr>
          <w:ilvl w:val="0"/>
          <w:numId w:val="1"/>
        </w:numPr>
      </w:pPr>
      <w:r>
        <w:t xml:space="preserve">Voluntary Benefits </w:t>
      </w:r>
      <w:r w:rsidR="008E5597">
        <w:t xml:space="preserve">Program: Receive discounts for </w:t>
      </w:r>
      <w:r>
        <w:t>Auto/Home, Pet, Identity Theft Protection</w:t>
      </w:r>
      <w:r w:rsidR="008E5597">
        <w:t>, Group Legal</w:t>
      </w:r>
      <w:r w:rsidR="008A7A74">
        <w:t xml:space="preserve">, </w:t>
      </w:r>
      <w:r w:rsidR="007A7349">
        <w:t xml:space="preserve">Accidental Injury, </w:t>
      </w:r>
      <w:r w:rsidR="008A7A74">
        <w:t xml:space="preserve">Critical Illness and </w:t>
      </w:r>
      <w:r w:rsidR="008E5597">
        <w:t>Hospital Indemnity Insurance</w:t>
      </w:r>
      <w:r w:rsidR="005A3FA4">
        <w:t xml:space="preserve"> </w:t>
      </w:r>
      <w:r>
        <w:t>through convenient payroll deductions.</w:t>
      </w:r>
    </w:p>
    <w:p w14:paraId="0F062621" w14:textId="77777777" w:rsidR="003D4D49" w:rsidRDefault="003D4D49" w:rsidP="003D4D49"/>
    <w:p w14:paraId="79F18345" w14:textId="77777777" w:rsidR="009A3767" w:rsidRPr="000D0AF7" w:rsidRDefault="009A3767" w:rsidP="003D4D49">
      <w:pPr>
        <w:rPr>
          <w:b/>
        </w:rPr>
      </w:pPr>
      <w:r w:rsidRPr="000D0AF7">
        <w:rPr>
          <w:b/>
        </w:rPr>
        <w:t>For additional information about employee benefits, contact:</w:t>
      </w:r>
    </w:p>
    <w:p w14:paraId="4145F29D" w14:textId="5D56B803" w:rsidR="009A3767" w:rsidRPr="000D0AF7" w:rsidRDefault="008E5597" w:rsidP="003D4D49">
      <w:pPr>
        <w:rPr>
          <w:rFonts w:ascii="TradeGothic-BoldTwo" w:hAnsi="TradeGothic-BoldTwo" w:cs="TradeGothic-BoldTwo"/>
          <w:bCs/>
        </w:rPr>
      </w:pPr>
      <w:r w:rsidRPr="000D0AF7">
        <w:rPr>
          <w:rFonts w:ascii="TradeGothic-BoldTwo" w:hAnsi="TradeGothic-BoldTwo" w:cs="TradeGothic-BoldTwo"/>
          <w:bCs/>
        </w:rPr>
        <w:t xml:space="preserve">Employee Resource Information Center at 844-543-21HR, option #1 (HRConnect) or through the employee </w:t>
      </w:r>
      <w:r w:rsidR="009A3767" w:rsidRPr="000D0AF7">
        <w:rPr>
          <w:rFonts w:ascii="TradeGothic-BoldTwo" w:hAnsi="TradeGothic-BoldTwo" w:cs="TradeGothic-BoldTwo"/>
          <w:bCs/>
        </w:rPr>
        <w:t xml:space="preserve">self-help portal: </w:t>
      </w:r>
      <w:r w:rsidR="00B679FE">
        <w:rPr>
          <w:rFonts w:ascii="TradeGothic-BoldTwo" w:hAnsi="TradeGothic-BoldTwo" w:cs="TradeGothic-BoldTwo"/>
          <w:bCs/>
        </w:rPr>
        <w:t>https://yalenewhavenhealth.service-now.com/esc</w:t>
      </w:r>
    </w:p>
    <w:p w14:paraId="33795750" w14:textId="77777777" w:rsidR="000D0AF7" w:rsidRDefault="000D0AF7" w:rsidP="003D4D49">
      <w:pPr>
        <w:rPr>
          <w:rFonts w:ascii="TradeGothic-BoldTwo" w:hAnsi="TradeGothic-BoldTwo" w:cs="TradeGothic-BoldTwo"/>
          <w:b/>
          <w:bCs/>
        </w:rPr>
      </w:pPr>
    </w:p>
    <w:p w14:paraId="51176F94" w14:textId="77777777" w:rsidR="000D0AF7" w:rsidRDefault="000D0AF7" w:rsidP="003D4D49">
      <w:pPr>
        <w:rPr>
          <w:rFonts w:ascii="TradeGothic-BoldTwo" w:hAnsi="TradeGothic-BoldTwo" w:cs="TradeGothic-BoldTwo"/>
          <w:b/>
          <w:bCs/>
        </w:rPr>
      </w:pPr>
    </w:p>
    <w:p w14:paraId="0B20609A" w14:textId="77777777" w:rsidR="000D0AF7" w:rsidRDefault="000D0AF7" w:rsidP="003D4D49">
      <w:pPr>
        <w:rPr>
          <w:rFonts w:ascii="TradeGothic-BoldTwo" w:hAnsi="TradeGothic-BoldTwo" w:cs="TradeGothic-BoldTwo"/>
          <w:b/>
          <w:bCs/>
        </w:rPr>
      </w:pPr>
    </w:p>
    <w:p w14:paraId="7426B3A2" w14:textId="77777777" w:rsidR="009A3767" w:rsidRDefault="009A3767" w:rsidP="003D4D49">
      <w:pPr>
        <w:rPr>
          <w:rFonts w:ascii="TradeGothic-BoldTwo" w:hAnsi="TradeGothic-BoldTwo" w:cs="TradeGothic-BoldTwo"/>
          <w:b/>
          <w:bCs/>
        </w:rPr>
      </w:pPr>
      <w:r>
        <w:rPr>
          <w:rFonts w:ascii="TradeGothic-BoldTwo" w:hAnsi="TradeGothic-BoldTwo" w:cs="TradeGothic-BoldTwo"/>
          <w:b/>
          <w:bCs/>
        </w:rPr>
        <w:t>Disclaimer: This brochure is intended only to provide a brief summary of our Benefits Program.</w:t>
      </w:r>
    </w:p>
    <w:p w14:paraId="0BC636D4" w14:textId="77777777" w:rsidR="009A3767" w:rsidRDefault="009A3767" w:rsidP="003D4D49">
      <w:pPr>
        <w:rPr>
          <w:rFonts w:ascii="TradeGothic-BoldTwo" w:hAnsi="TradeGothic-BoldTwo" w:cs="TradeGothic-BoldTwo"/>
          <w:b/>
          <w:bCs/>
        </w:rPr>
      </w:pPr>
      <w:r>
        <w:rPr>
          <w:rFonts w:ascii="TradeGothic-BoldTwo" w:hAnsi="TradeGothic-BoldTwo" w:cs="TradeGothic-BoldTwo"/>
          <w:b/>
          <w:bCs/>
        </w:rPr>
        <w:t>More detailed descriptions of these plans can be found in the plan documents that legally govern the plans.</w:t>
      </w:r>
      <w:r>
        <w:rPr>
          <w:rFonts w:ascii="TradeGothic-BoldTwo" w:hAnsi="TradeGothic-BoldTwo" w:cs="TradeGothic-BoldTwo"/>
          <w:b/>
          <w:bCs/>
        </w:rPr>
        <w:tab/>
      </w:r>
    </w:p>
    <w:p w14:paraId="4E3228EC" w14:textId="77777777" w:rsidR="00E27A84" w:rsidRDefault="00E27A84"/>
    <w:p w14:paraId="7558D1A1" w14:textId="77777777" w:rsidR="00F53F3B" w:rsidRDefault="00F53F3B"/>
    <w:p w14:paraId="6B6EFCE8" w14:textId="77777777" w:rsidR="00F53F3B" w:rsidRDefault="00F53F3B"/>
    <w:p w14:paraId="1BE92E05" w14:textId="77777777" w:rsidR="00F53F3B" w:rsidRDefault="00F53F3B"/>
    <w:p w14:paraId="5B973248" w14:textId="77777777" w:rsidR="00F53F3B" w:rsidRDefault="00F53F3B"/>
    <w:p w14:paraId="5270E466" w14:textId="77777777" w:rsidR="00F53F3B" w:rsidRDefault="00F53F3B"/>
    <w:p w14:paraId="4FF6FAA4" w14:textId="77777777" w:rsidR="00080FE0" w:rsidRDefault="00080FE0"/>
    <w:p w14:paraId="50FA3A65" w14:textId="77777777" w:rsidR="00080FE0" w:rsidRDefault="00080FE0"/>
    <w:p w14:paraId="2A9F2636" w14:textId="77777777" w:rsidR="00F53F3B" w:rsidRDefault="00F53F3B"/>
    <w:sectPr w:rsidR="00F53F3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Gothic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radeGothic-BoldTwo">
    <w:altName w:val="Calibri"/>
    <w:charset w:val="4D"/>
    <w:family w:val="auto"/>
    <w:pitch w:val="default"/>
    <w:sig w:usb0="00000003" w:usb1="00000000" w:usb2="00000000" w:usb3="00000000" w:csb0="00000001" w:csb1="00000000"/>
  </w:font>
  <w:font w:name="TradeGothic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Gothic-BoldTwoOblique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06462"/>
    <w:multiLevelType w:val="hybridMultilevel"/>
    <w:tmpl w:val="91CA712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4867180"/>
    <w:multiLevelType w:val="hybridMultilevel"/>
    <w:tmpl w:val="1EE6A24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0171482"/>
    <w:multiLevelType w:val="hybridMultilevel"/>
    <w:tmpl w:val="ED4066E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303465CC"/>
    <w:multiLevelType w:val="hybridMultilevel"/>
    <w:tmpl w:val="643CD5E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40D1BA4"/>
    <w:multiLevelType w:val="hybridMultilevel"/>
    <w:tmpl w:val="139A4BB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4D218F0"/>
    <w:multiLevelType w:val="hybridMultilevel"/>
    <w:tmpl w:val="D354B9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7840A23"/>
    <w:multiLevelType w:val="hybridMultilevel"/>
    <w:tmpl w:val="3F0C389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F7B24BB"/>
    <w:multiLevelType w:val="hybridMultilevel"/>
    <w:tmpl w:val="A1943E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049620C"/>
    <w:multiLevelType w:val="hybridMultilevel"/>
    <w:tmpl w:val="5C1C0C1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0FD6C57"/>
    <w:multiLevelType w:val="hybridMultilevel"/>
    <w:tmpl w:val="11C2C5B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41994B40"/>
    <w:multiLevelType w:val="hybridMultilevel"/>
    <w:tmpl w:val="182488C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49022010"/>
    <w:multiLevelType w:val="hybridMultilevel"/>
    <w:tmpl w:val="605E6C0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533E3357"/>
    <w:multiLevelType w:val="hybridMultilevel"/>
    <w:tmpl w:val="A3A8D3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62244300"/>
    <w:multiLevelType w:val="hybridMultilevel"/>
    <w:tmpl w:val="80E075A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69D8409F"/>
    <w:multiLevelType w:val="hybridMultilevel"/>
    <w:tmpl w:val="9A04267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D774B5B"/>
    <w:multiLevelType w:val="hybridMultilevel"/>
    <w:tmpl w:val="3ED0333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D814595"/>
    <w:multiLevelType w:val="hybridMultilevel"/>
    <w:tmpl w:val="E61C4368"/>
    <w:lvl w:ilvl="0" w:tplc="46B26E60">
      <w:numFmt w:val="bullet"/>
      <w:lvlText w:val="6"/>
      <w:lvlJc w:val="left"/>
      <w:pPr>
        <w:ind w:left="480" w:hanging="360"/>
      </w:pPr>
      <w:rPr>
        <w:rFonts w:ascii="TradeGothic-Light" w:eastAsiaTheme="minorHAnsi" w:hAnsi="TradeGothic-Light" w:cs="TradeGothic-Light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7F1D4BD5"/>
    <w:multiLevelType w:val="hybridMultilevel"/>
    <w:tmpl w:val="FD02B8C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124230388">
    <w:abstractNumId w:val="10"/>
  </w:num>
  <w:num w:numId="2" w16cid:durableId="702484981">
    <w:abstractNumId w:val="13"/>
  </w:num>
  <w:num w:numId="3" w16cid:durableId="1910729325">
    <w:abstractNumId w:val="14"/>
  </w:num>
  <w:num w:numId="4" w16cid:durableId="956566251">
    <w:abstractNumId w:val="4"/>
  </w:num>
  <w:num w:numId="5" w16cid:durableId="482089269">
    <w:abstractNumId w:val="5"/>
  </w:num>
  <w:num w:numId="6" w16cid:durableId="1296259942">
    <w:abstractNumId w:val="8"/>
  </w:num>
  <w:num w:numId="7" w16cid:durableId="1848060894">
    <w:abstractNumId w:val="17"/>
  </w:num>
  <w:num w:numId="8" w16cid:durableId="1517839495">
    <w:abstractNumId w:val="1"/>
  </w:num>
  <w:num w:numId="9" w16cid:durableId="1729760733">
    <w:abstractNumId w:val="9"/>
  </w:num>
  <w:num w:numId="10" w16cid:durableId="393547963">
    <w:abstractNumId w:val="7"/>
  </w:num>
  <w:num w:numId="11" w16cid:durableId="1094478446">
    <w:abstractNumId w:val="11"/>
  </w:num>
  <w:num w:numId="12" w16cid:durableId="1421028386">
    <w:abstractNumId w:val="2"/>
  </w:num>
  <w:num w:numId="13" w16cid:durableId="353310774">
    <w:abstractNumId w:val="0"/>
  </w:num>
  <w:num w:numId="14" w16cid:durableId="1166047612">
    <w:abstractNumId w:val="12"/>
  </w:num>
  <w:num w:numId="15" w16cid:durableId="2114739304">
    <w:abstractNumId w:val="15"/>
  </w:num>
  <w:num w:numId="16" w16cid:durableId="654993759">
    <w:abstractNumId w:val="6"/>
  </w:num>
  <w:num w:numId="17" w16cid:durableId="1937866706">
    <w:abstractNumId w:val="3"/>
  </w:num>
  <w:num w:numId="18" w16cid:durableId="7007114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767"/>
    <w:rsid w:val="00037B15"/>
    <w:rsid w:val="000603D3"/>
    <w:rsid w:val="00080FE0"/>
    <w:rsid w:val="000D0AF7"/>
    <w:rsid w:val="00141ADB"/>
    <w:rsid w:val="001B4CEC"/>
    <w:rsid w:val="00204E63"/>
    <w:rsid w:val="00225AF4"/>
    <w:rsid w:val="00255ED3"/>
    <w:rsid w:val="00270BFB"/>
    <w:rsid w:val="002B0A9E"/>
    <w:rsid w:val="00325A10"/>
    <w:rsid w:val="003D4D49"/>
    <w:rsid w:val="00422FEC"/>
    <w:rsid w:val="005A3FA4"/>
    <w:rsid w:val="005C4886"/>
    <w:rsid w:val="006238FD"/>
    <w:rsid w:val="00636E8E"/>
    <w:rsid w:val="0064229D"/>
    <w:rsid w:val="006C4003"/>
    <w:rsid w:val="00706A76"/>
    <w:rsid w:val="00713532"/>
    <w:rsid w:val="00727E50"/>
    <w:rsid w:val="00736E8C"/>
    <w:rsid w:val="007A7349"/>
    <w:rsid w:val="007B37BC"/>
    <w:rsid w:val="00820000"/>
    <w:rsid w:val="008440CD"/>
    <w:rsid w:val="00884370"/>
    <w:rsid w:val="00884E0A"/>
    <w:rsid w:val="008A7A74"/>
    <w:rsid w:val="008B6546"/>
    <w:rsid w:val="008B7382"/>
    <w:rsid w:val="008E5597"/>
    <w:rsid w:val="009812A8"/>
    <w:rsid w:val="009A2D59"/>
    <w:rsid w:val="009A3767"/>
    <w:rsid w:val="009D1BE3"/>
    <w:rsid w:val="00A000ED"/>
    <w:rsid w:val="00A51F2D"/>
    <w:rsid w:val="00B0210F"/>
    <w:rsid w:val="00B679FE"/>
    <w:rsid w:val="00B76361"/>
    <w:rsid w:val="00C20916"/>
    <w:rsid w:val="00CD0292"/>
    <w:rsid w:val="00CE6B52"/>
    <w:rsid w:val="00D1110C"/>
    <w:rsid w:val="00D84AAA"/>
    <w:rsid w:val="00E10301"/>
    <w:rsid w:val="00E27A84"/>
    <w:rsid w:val="00E504F0"/>
    <w:rsid w:val="00E516E1"/>
    <w:rsid w:val="00E94BA0"/>
    <w:rsid w:val="00EA323C"/>
    <w:rsid w:val="00EB6CDC"/>
    <w:rsid w:val="00EE0F3E"/>
    <w:rsid w:val="00EE76DE"/>
    <w:rsid w:val="00F5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131A"/>
  <w14:defaultImageDpi w14:val="32767"/>
  <w15:chartTrackingRefBased/>
  <w15:docId w15:val="{2D37B5EC-52B1-4BBA-8BD8-24D78FCF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9A376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Bullets">
    <w:name w:val="Bullets"/>
    <w:basedOn w:val="Normal"/>
    <w:uiPriority w:val="99"/>
    <w:rsid w:val="009A3767"/>
    <w:pPr>
      <w:tabs>
        <w:tab w:val="left" w:pos="3440"/>
      </w:tabs>
      <w:suppressAutoHyphens/>
      <w:autoSpaceDE w:val="0"/>
      <w:autoSpaceDN w:val="0"/>
      <w:adjustRightInd w:val="0"/>
      <w:spacing w:before="40" w:line="230" w:lineRule="atLeast"/>
      <w:ind w:left="360" w:hanging="240"/>
      <w:textAlignment w:val="center"/>
    </w:pPr>
    <w:rPr>
      <w:rFonts w:ascii="TradeGothic-Light" w:hAnsi="TradeGothic-Light" w:cs="TradeGothic-Light"/>
      <w:color w:val="000000"/>
      <w:sz w:val="18"/>
      <w:szCs w:val="18"/>
    </w:rPr>
  </w:style>
  <w:style w:type="paragraph" w:customStyle="1" w:styleId="SubheadBlue">
    <w:name w:val="Subhead Blue"/>
    <w:basedOn w:val="Normal"/>
    <w:uiPriority w:val="99"/>
    <w:rsid w:val="009A3767"/>
    <w:pPr>
      <w:tabs>
        <w:tab w:val="left" w:pos="3440"/>
      </w:tabs>
      <w:suppressAutoHyphens/>
      <w:autoSpaceDE w:val="0"/>
      <w:autoSpaceDN w:val="0"/>
      <w:adjustRightInd w:val="0"/>
      <w:spacing w:before="360" w:line="230" w:lineRule="atLeast"/>
      <w:textAlignment w:val="center"/>
    </w:pPr>
    <w:rPr>
      <w:rFonts w:ascii="TradeGothic-BoldTwo" w:hAnsi="TradeGothic-BoldTwo" w:cs="TradeGothic-BoldTwo"/>
      <w:b/>
      <w:bCs/>
      <w:color w:val="00B5EF"/>
      <w:sz w:val="18"/>
      <w:szCs w:val="18"/>
    </w:rPr>
  </w:style>
  <w:style w:type="paragraph" w:customStyle="1" w:styleId="Body2">
    <w:name w:val="Body 2"/>
    <w:basedOn w:val="Normal"/>
    <w:uiPriority w:val="99"/>
    <w:rsid w:val="009A3767"/>
    <w:pPr>
      <w:tabs>
        <w:tab w:val="left" w:pos="3440"/>
      </w:tabs>
      <w:suppressAutoHyphens/>
      <w:autoSpaceDE w:val="0"/>
      <w:autoSpaceDN w:val="0"/>
      <w:adjustRightInd w:val="0"/>
      <w:spacing w:before="240" w:line="230" w:lineRule="atLeast"/>
      <w:textAlignment w:val="center"/>
    </w:pPr>
    <w:rPr>
      <w:rFonts w:ascii="TradeGothic-Light" w:hAnsi="TradeGothic-Light" w:cs="TradeGothic-Light"/>
      <w:color w:val="000000"/>
      <w:sz w:val="18"/>
      <w:szCs w:val="18"/>
    </w:rPr>
  </w:style>
  <w:style w:type="character" w:customStyle="1" w:styleId="Boldbody">
    <w:name w:val="Bold body"/>
    <w:uiPriority w:val="99"/>
    <w:rsid w:val="009A3767"/>
    <w:rPr>
      <w:b/>
      <w:bCs/>
    </w:rPr>
  </w:style>
  <w:style w:type="paragraph" w:customStyle="1" w:styleId="bodycopy">
    <w:name w:val="body copy"/>
    <w:basedOn w:val="Normal"/>
    <w:uiPriority w:val="99"/>
    <w:rsid w:val="009A3767"/>
    <w:pPr>
      <w:tabs>
        <w:tab w:val="left" w:pos="3440"/>
      </w:tabs>
      <w:suppressAutoHyphens/>
      <w:autoSpaceDE w:val="0"/>
      <w:autoSpaceDN w:val="0"/>
      <w:adjustRightInd w:val="0"/>
      <w:spacing w:before="240" w:line="230" w:lineRule="atLeast"/>
      <w:textAlignment w:val="center"/>
    </w:pPr>
    <w:rPr>
      <w:rFonts w:ascii="TradeGothic-Light" w:hAnsi="TradeGothic-Light" w:cs="TradeGothic-Light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03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CC1EF7FE13D4EA561DFDA015FCB0D" ma:contentTypeVersion="6" ma:contentTypeDescription="Create a new document." ma:contentTypeScope="" ma:versionID="c2aa68d5c220d915d9a053684c1a47bc">
  <xsd:schema xmlns:xsd="http://www.w3.org/2001/XMLSchema" xmlns:xs="http://www.w3.org/2001/XMLSchema" xmlns:p="http://schemas.microsoft.com/office/2006/metadata/properties" xmlns:ns2="8418f390-f859-4f90-8460-7351091214b6" xmlns:ns3="0d0a5ed0-b70d-4f9e-9659-1fd0c93be720" targetNamespace="http://schemas.microsoft.com/office/2006/metadata/properties" ma:root="true" ma:fieldsID="4d74ed43cb85431baa2f2f693987b390" ns2:_="" ns3:_="">
    <xsd:import namespace="8418f390-f859-4f90-8460-7351091214b6"/>
    <xsd:import namespace="0d0a5ed0-b70d-4f9e-9659-1fd0c93be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8f390-f859-4f90-8460-735109121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a5ed0-b70d-4f9e-9659-1fd0c93be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8A49F6-2DDB-4608-BB67-59C2EAD5E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8f390-f859-4f90-8460-7351091214b6"/>
    <ds:schemaRef ds:uri="0d0a5ed0-b70d-4f9e-9659-1fd0c93be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8027E-8B4C-4E88-8809-7B2CCF4A4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5AF53-03A5-4A15-AAB6-34683A5BCB7D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0d0a5ed0-b70d-4f9e-9659-1fd0c93be720"/>
    <ds:schemaRef ds:uri="http://schemas.microsoft.com/office/2006/documentManagement/types"/>
    <ds:schemaRef ds:uri="http://purl.org/dc/terms/"/>
    <ds:schemaRef ds:uri="http://schemas.microsoft.com/office/infopath/2007/PartnerControls"/>
    <ds:schemaRef ds:uri="8418f390-f859-4f90-8460-7351091214b6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cf9d51b4-0eed-4aff-8425-4bbad5d656ab}" enabled="0" method="" siteId="{cf9d51b4-0eed-4aff-8425-4bbad5d656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989</Words>
  <Characters>5638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Crutchfield</dc:creator>
  <cp:keywords/>
  <dc:description/>
  <cp:lastModifiedBy>Sullivan, Heather</cp:lastModifiedBy>
  <cp:revision>2</cp:revision>
  <dcterms:created xsi:type="dcterms:W3CDTF">2025-08-14T12:36:00Z</dcterms:created>
  <dcterms:modified xsi:type="dcterms:W3CDTF">2025-08-14T12:36:00Z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0x010100828CC1EF7FE13D4EA561DFDA015FCB0D</vt:lpwstr>
  </property>
</Properties>
</file>