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5130"/>
        <w:gridCol w:w="1440"/>
        <w:gridCol w:w="1260"/>
        <w:gridCol w:w="1980"/>
        <w:gridCol w:w="1800"/>
        <w:gridCol w:w="1512"/>
      </w:tblGrid>
      <w:tr w:rsidRPr="00E1694A" w:rsidR="005E35F4" w:rsidTr="256B4309" w14:paraId="06A4A9A6" w14:textId="77777777">
        <w:trPr>
          <w:trHeight w:val="710"/>
          <w:tblHeader/>
        </w:trPr>
        <w:tc>
          <w:tcPr>
            <w:tcW w:w="1530" w:type="dxa"/>
            <w:shd w:val="clear" w:color="auto" w:fill="E7E6E6" w:themeFill="background2"/>
            <w:tcMar/>
          </w:tcPr>
          <w:p w:rsidRPr="00FD18D5" w:rsidR="005E35F4" w:rsidP="0041539F" w:rsidRDefault="00413C5C" w14:paraId="1FD1AFDB" w14:textId="77777777">
            <w:pPr>
              <w:spacing w:before="120" w:after="120"/>
              <w:jc w:val="center"/>
              <w:rPr>
                <w:b/>
                <w:color w:val="000000"/>
                <w:sz w:val="22"/>
                <w:szCs w:val="22"/>
              </w:rPr>
            </w:pPr>
            <w:r w:rsidRPr="00FD18D5">
              <w:rPr>
                <w:b/>
                <w:color w:val="000000"/>
                <w:sz w:val="22"/>
                <w:szCs w:val="22"/>
              </w:rPr>
              <w:t>Overarching Goals</w:t>
            </w:r>
          </w:p>
        </w:tc>
        <w:tc>
          <w:tcPr>
            <w:tcW w:w="5130" w:type="dxa"/>
            <w:shd w:val="clear" w:color="auto" w:fill="E7E6E6" w:themeFill="background2"/>
            <w:tcMar/>
          </w:tcPr>
          <w:p w:rsidRPr="00FD18D5" w:rsidR="005E35F4" w:rsidP="001A2622" w:rsidRDefault="00587584" w14:paraId="4A542645" w14:textId="77777777">
            <w:pPr>
              <w:spacing w:before="120" w:after="120"/>
              <w:rPr>
                <w:b/>
                <w:color w:val="000000"/>
                <w:sz w:val="22"/>
                <w:szCs w:val="22"/>
              </w:rPr>
            </w:pPr>
            <w:r w:rsidRPr="00FD18D5">
              <w:rPr>
                <w:b/>
                <w:color w:val="000000"/>
                <w:sz w:val="22"/>
                <w:szCs w:val="22"/>
              </w:rPr>
              <w:t>Learning O</w:t>
            </w:r>
            <w:r w:rsidRPr="00FD18D5" w:rsidR="005E35F4">
              <w:rPr>
                <w:b/>
                <w:color w:val="000000"/>
                <w:sz w:val="22"/>
                <w:szCs w:val="22"/>
              </w:rPr>
              <w:t xml:space="preserve">bjectives: By the end of the rotation, students will be expected to: </w:t>
            </w:r>
          </w:p>
          <w:p w:rsidRPr="00FD18D5" w:rsidR="00587584" w:rsidP="00223941" w:rsidRDefault="00587584" w14:paraId="194D0A5F" w14:textId="77777777">
            <w:pPr>
              <w:ind w:left="136" w:hanging="136"/>
              <w:rPr>
                <w:b/>
                <w:color w:val="000000"/>
                <w:sz w:val="22"/>
                <w:szCs w:val="22"/>
              </w:rPr>
            </w:pPr>
            <w:r w:rsidRPr="00FD18D5">
              <w:rPr>
                <w:i/>
                <w:color w:val="C45911"/>
                <w:sz w:val="22"/>
                <w:szCs w:val="22"/>
              </w:rPr>
              <w:t xml:space="preserve">**Please use this template as a guide. The noted learning objectives </w:t>
            </w:r>
            <w:r w:rsidRPr="00FD18D5" w:rsidR="00000C17">
              <w:rPr>
                <w:i/>
                <w:color w:val="C45911"/>
                <w:sz w:val="22"/>
                <w:szCs w:val="22"/>
              </w:rPr>
              <w:t>can be modified,</w:t>
            </w:r>
            <w:r w:rsidRPr="00FD18D5">
              <w:rPr>
                <w:i/>
                <w:color w:val="C45911"/>
                <w:sz w:val="22"/>
                <w:szCs w:val="22"/>
              </w:rPr>
              <w:t xml:space="preserve"> added</w:t>
            </w:r>
            <w:r w:rsidRPr="00FD18D5" w:rsidR="00A94B51">
              <w:rPr>
                <w:i/>
                <w:color w:val="C45911"/>
                <w:sz w:val="22"/>
                <w:szCs w:val="22"/>
              </w:rPr>
              <w:t>,</w:t>
            </w:r>
            <w:r w:rsidRPr="00FD18D5">
              <w:rPr>
                <w:i/>
                <w:color w:val="C45911"/>
                <w:sz w:val="22"/>
                <w:szCs w:val="22"/>
              </w:rPr>
              <w:t xml:space="preserve"> or deleted.</w:t>
            </w:r>
            <w:r w:rsidRPr="00FD18D5" w:rsidR="00000C17">
              <w:rPr>
                <w:i/>
                <w:color w:val="C45911"/>
                <w:sz w:val="22"/>
                <w:szCs w:val="22"/>
              </w:rPr>
              <w:t xml:space="preserve"> The Overar</w:t>
            </w:r>
            <w:r w:rsidRPr="00FD18D5" w:rsidR="00A94B51">
              <w:rPr>
                <w:i/>
                <w:color w:val="C45911"/>
                <w:sz w:val="22"/>
                <w:szCs w:val="22"/>
              </w:rPr>
              <w:t>ching Goals and Definitions of E</w:t>
            </w:r>
            <w:r w:rsidRPr="00FD18D5" w:rsidR="00000C17">
              <w:rPr>
                <w:i/>
                <w:color w:val="C45911"/>
                <w:sz w:val="22"/>
                <w:szCs w:val="22"/>
              </w:rPr>
              <w:t>lective/</w:t>
            </w:r>
            <w:r w:rsidRPr="00FD18D5" w:rsidR="00A94B51">
              <w:rPr>
                <w:i/>
                <w:color w:val="C45911"/>
                <w:sz w:val="22"/>
                <w:szCs w:val="22"/>
              </w:rPr>
              <w:t>S</w:t>
            </w:r>
            <w:r w:rsidRPr="00FD18D5" w:rsidR="00000C17">
              <w:rPr>
                <w:i/>
                <w:color w:val="C45911"/>
                <w:sz w:val="22"/>
                <w:szCs w:val="22"/>
              </w:rPr>
              <w:t>ubinternship are shown below.</w:t>
            </w:r>
          </w:p>
        </w:tc>
        <w:tc>
          <w:tcPr>
            <w:tcW w:w="1440" w:type="dxa"/>
            <w:shd w:val="clear" w:color="auto" w:fill="E7E6E6" w:themeFill="background2"/>
            <w:tcMar/>
          </w:tcPr>
          <w:p w:rsidRPr="00FD18D5" w:rsidR="005E35F4" w:rsidP="0D411FA1" w:rsidRDefault="005E35F4" w14:paraId="3B93A82B" w14:textId="77777777">
            <w:pPr>
              <w:spacing w:before="120"/>
              <w:jc w:val="center"/>
              <w:rPr>
                <w:b w:val="1"/>
                <w:bCs w:val="1"/>
                <w:color w:val="000000"/>
                <w:sz w:val="22"/>
                <w:szCs w:val="22"/>
              </w:rPr>
            </w:pPr>
            <w:r w:rsidRPr="0D411FA1" w:rsidR="005E35F4">
              <w:rPr>
                <w:b w:val="1"/>
                <w:bCs w:val="1"/>
                <w:color w:val="000000" w:themeColor="text1" w:themeTint="FF" w:themeShade="FF"/>
                <w:sz w:val="22"/>
                <w:szCs w:val="22"/>
              </w:rPr>
              <w:t>Where/how taught</w:t>
            </w:r>
          </w:p>
          <w:p w:rsidRPr="00FD18D5" w:rsidR="00467088" w:rsidP="0D411FA1" w:rsidRDefault="00467088" w14:paraId="2AA7424E" w14:textId="77777777">
            <w:pPr>
              <w:spacing w:before="60" w:after="120"/>
              <w:jc w:val="center"/>
              <w:rPr>
                <w:b w:val="1"/>
                <w:bCs w:val="1"/>
                <w:color w:val="000000"/>
                <w:sz w:val="22"/>
                <w:szCs w:val="22"/>
              </w:rPr>
            </w:pPr>
            <w:r w:rsidRPr="0D411FA1" w:rsidR="00467088">
              <w:rPr>
                <w:i w:val="1"/>
                <w:iCs w:val="1"/>
                <w:color w:val="000000" w:themeColor="text1" w:themeTint="FF" w:themeShade="FF"/>
                <w:sz w:val="22"/>
                <w:szCs w:val="22"/>
              </w:rPr>
              <w:t>(location or learning activity)</w:t>
            </w:r>
          </w:p>
        </w:tc>
        <w:tc>
          <w:tcPr>
            <w:tcW w:w="1260" w:type="dxa"/>
            <w:shd w:val="clear" w:color="auto" w:fill="E7E6E6" w:themeFill="background2"/>
            <w:tcMar/>
          </w:tcPr>
          <w:p w:rsidRPr="00FD18D5" w:rsidR="005E35F4" w:rsidP="78A76A87" w:rsidRDefault="005E35F4" w14:paraId="6DA76527" w14:textId="77777777">
            <w:pPr>
              <w:spacing w:before="120"/>
              <w:jc w:val="center"/>
              <w:rPr>
                <w:b w:val="1"/>
                <w:bCs w:val="1"/>
                <w:color w:val="000000"/>
                <w:sz w:val="22"/>
                <w:szCs w:val="22"/>
              </w:rPr>
            </w:pPr>
            <w:r w:rsidRPr="256B4309" w:rsidR="005E35F4">
              <w:rPr>
                <w:b w:val="1"/>
                <w:bCs w:val="1"/>
                <w:color w:val="000000" w:themeColor="text1" w:themeTint="FF" w:themeShade="FF"/>
                <w:sz w:val="22"/>
                <w:szCs w:val="22"/>
              </w:rPr>
              <w:t>Taught by</w:t>
            </w:r>
          </w:p>
          <w:p w:rsidRPr="00FD18D5" w:rsidR="00467088" w:rsidP="0D411FA1" w:rsidRDefault="00467088" w14:paraId="49E0798F" w14:textId="77777777">
            <w:pPr>
              <w:spacing w:before="60" w:after="120"/>
              <w:jc w:val="center"/>
              <w:rPr>
                <w:b w:val="1"/>
                <w:bCs w:val="1"/>
                <w:color w:val="000000"/>
                <w:sz w:val="22"/>
                <w:szCs w:val="22"/>
              </w:rPr>
            </w:pPr>
            <w:r w:rsidRPr="0D411FA1" w:rsidR="00467088">
              <w:rPr>
                <w:i w:val="1"/>
                <w:iCs w:val="1"/>
                <w:color w:val="000000" w:themeColor="text1" w:themeTint="FF" w:themeShade="FF"/>
                <w:sz w:val="22"/>
                <w:szCs w:val="22"/>
              </w:rPr>
              <w:t>(attending, fellows, etc.)</w:t>
            </w:r>
          </w:p>
          <w:p w:rsidRPr="00FD18D5" w:rsidR="00467088" w:rsidP="78A76A87" w:rsidRDefault="00467088" w14:paraId="43A44E79" w14:textId="77777777">
            <w:pPr>
              <w:spacing w:before="120"/>
              <w:jc w:val="center"/>
              <w:rPr>
                <w:b w:val="1"/>
                <w:bCs w:val="1"/>
                <w:color w:val="000000"/>
                <w:sz w:val="22"/>
                <w:szCs w:val="22"/>
              </w:rPr>
            </w:pPr>
          </w:p>
        </w:tc>
        <w:tc>
          <w:tcPr>
            <w:tcW w:w="1980" w:type="dxa"/>
            <w:shd w:val="clear" w:color="auto" w:fill="E7E6E6" w:themeFill="background2"/>
            <w:tcMar/>
          </w:tcPr>
          <w:p w:rsidRPr="00FD18D5" w:rsidR="005E35F4" w:rsidP="0D411FA1" w:rsidRDefault="005E35F4" w14:paraId="11634489" w14:textId="77777777">
            <w:pPr>
              <w:spacing w:before="120"/>
              <w:jc w:val="center"/>
              <w:rPr>
                <w:b w:val="1"/>
                <w:bCs w:val="1"/>
                <w:color w:val="000000"/>
                <w:sz w:val="22"/>
                <w:szCs w:val="22"/>
              </w:rPr>
            </w:pPr>
            <w:r w:rsidRPr="0D411FA1" w:rsidR="005E35F4">
              <w:rPr>
                <w:b w:val="1"/>
                <w:bCs w:val="1"/>
                <w:color w:val="000000" w:themeColor="text1" w:themeTint="FF" w:themeShade="FF"/>
                <w:sz w:val="22"/>
                <w:szCs w:val="22"/>
              </w:rPr>
              <w:t xml:space="preserve">How student’s achievement of </w:t>
            </w:r>
            <w:r w:rsidRPr="0D411FA1" w:rsidR="005E35F4">
              <w:rPr>
                <w:b w:val="1"/>
                <w:bCs w:val="1"/>
                <w:color w:val="000000" w:themeColor="text1" w:themeTint="FF" w:themeShade="FF"/>
                <w:sz w:val="22"/>
                <w:szCs w:val="22"/>
              </w:rPr>
              <w:t>objective</w:t>
            </w:r>
            <w:r w:rsidRPr="0D411FA1" w:rsidR="005E35F4">
              <w:rPr>
                <w:b w:val="1"/>
                <w:bCs w:val="1"/>
                <w:color w:val="000000" w:themeColor="text1" w:themeTint="FF" w:themeShade="FF"/>
                <w:sz w:val="22"/>
                <w:szCs w:val="22"/>
              </w:rPr>
              <w:t xml:space="preserve"> is assessed</w:t>
            </w:r>
          </w:p>
          <w:p w:rsidRPr="00FD18D5" w:rsidR="00467088" w:rsidP="0D411FA1" w:rsidRDefault="00467088" w14:paraId="284907AC" w14:textId="77777777">
            <w:pPr>
              <w:spacing w:before="60" w:after="120"/>
              <w:jc w:val="center"/>
              <w:rPr>
                <w:b w:val="1"/>
                <w:bCs w:val="1"/>
                <w:color w:val="000000"/>
                <w:sz w:val="22"/>
                <w:szCs w:val="22"/>
              </w:rPr>
            </w:pPr>
            <w:r w:rsidRPr="0D411FA1" w:rsidR="00467088">
              <w:rPr>
                <w:i w:val="1"/>
                <w:iCs w:val="1"/>
                <w:color w:val="000000" w:themeColor="text1" w:themeTint="FF" w:themeShade="FF"/>
                <w:sz w:val="22"/>
                <w:szCs w:val="22"/>
              </w:rPr>
              <w:t>(assessment method)</w:t>
            </w:r>
          </w:p>
        </w:tc>
        <w:tc>
          <w:tcPr>
            <w:tcW w:w="1800" w:type="dxa"/>
            <w:shd w:val="clear" w:color="auto" w:fill="E7E6E6" w:themeFill="background2"/>
            <w:tcMar/>
          </w:tcPr>
          <w:p w:rsidRPr="00FD18D5" w:rsidR="005E35F4" w:rsidP="0D411FA1" w:rsidRDefault="005E35F4" w14:paraId="14B82B67" w14:textId="77777777">
            <w:pPr>
              <w:spacing w:before="120"/>
              <w:jc w:val="center"/>
              <w:rPr>
                <w:b w:val="1"/>
                <w:bCs w:val="1"/>
                <w:color w:val="000000"/>
                <w:sz w:val="22"/>
                <w:szCs w:val="22"/>
              </w:rPr>
            </w:pPr>
            <w:r w:rsidRPr="256B4309" w:rsidR="005E35F4">
              <w:rPr>
                <w:b w:val="1"/>
                <w:bCs w:val="1"/>
                <w:color w:val="000000" w:themeColor="text1" w:themeTint="FF" w:themeShade="FF"/>
                <w:sz w:val="22"/>
                <w:szCs w:val="22"/>
              </w:rPr>
              <w:t>How feedback is given</w:t>
            </w:r>
          </w:p>
          <w:p w:rsidRPr="00FD18D5" w:rsidR="00467088" w:rsidP="0D411FA1" w:rsidRDefault="00467088" w14:paraId="7865C0B1" w14:textId="77777777">
            <w:pPr>
              <w:spacing w:before="60" w:after="120"/>
              <w:jc w:val="center"/>
              <w:rPr>
                <w:b w:val="1"/>
                <w:bCs w:val="1"/>
                <w:color w:val="000000"/>
                <w:sz w:val="22"/>
                <w:szCs w:val="22"/>
              </w:rPr>
            </w:pPr>
            <w:r w:rsidRPr="256B4309" w:rsidR="00467088">
              <w:rPr>
                <w:i w:val="1"/>
                <w:iCs w:val="1"/>
                <w:color w:val="000000" w:themeColor="text1" w:themeTint="FF" w:themeShade="FF"/>
                <w:sz w:val="22"/>
                <w:szCs w:val="22"/>
              </w:rPr>
              <w:t>(feedback method</w:t>
            </w:r>
            <w:r w:rsidRPr="256B4309" w:rsidR="007A75E2">
              <w:rPr>
                <w:i w:val="1"/>
                <w:iCs w:val="1"/>
                <w:color w:val="000000" w:themeColor="text1" w:themeTint="FF" w:themeShade="FF"/>
                <w:sz w:val="22"/>
                <w:szCs w:val="22"/>
              </w:rPr>
              <w:t>)</w:t>
            </w:r>
          </w:p>
        </w:tc>
        <w:tc>
          <w:tcPr>
            <w:tcW w:w="1512" w:type="dxa"/>
            <w:shd w:val="clear" w:color="auto" w:fill="E7E6E6" w:themeFill="background2"/>
            <w:tcMar/>
          </w:tcPr>
          <w:p w:rsidRPr="00FD18D5" w:rsidR="005E35F4" w:rsidP="0D411FA1" w:rsidRDefault="005E35F4" w14:paraId="729E41EE" w14:textId="77777777">
            <w:pPr>
              <w:spacing w:before="120"/>
              <w:jc w:val="center"/>
              <w:rPr>
                <w:b w:val="1"/>
                <w:bCs w:val="1"/>
                <w:color w:val="000000"/>
                <w:sz w:val="22"/>
                <w:szCs w:val="22"/>
              </w:rPr>
            </w:pPr>
            <w:r w:rsidRPr="0D411FA1" w:rsidR="005E35F4">
              <w:rPr>
                <w:b w:val="1"/>
                <w:bCs w:val="1"/>
                <w:color w:val="000000" w:themeColor="text1" w:themeTint="FF" w:themeShade="FF"/>
                <w:sz w:val="22"/>
                <w:szCs w:val="22"/>
              </w:rPr>
              <w:t>Quantity target</w:t>
            </w:r>
          </w:p>
          <w:p w:rsidRPr="00FD18D5" w:rsidR="00467088" w:rsidP="0D411FA1" w:rsidRDefault="00467088" w14:paraId="3C543C93" w14:textId="77777777">
            <w:pPr>
              <w:spacing w:before="60" w:after="120"/>
              <w:ind w:right="86"/>
              <w:jc w:val="center"/>
              <w:rPr>
                <w:b w:val="1"/>
                <w:bCs w:val="1"/>
                <w:color w:val="000000"/>
                <w:sz w:val="22"/>
                <w:szCs w:val="22"/>
              </w:rPr>
            </w:pPr>
            <w:r w:rsidRPr="0D411FA1" w:rsidR="00467088">
              <w:rPr>
                <w:i w:val="1"/>
                <w:iCs w:val="1"/>
                <w:color w:val="000000" w:themeColor="text1" w:themeTint="FF" w:themeShade="FF"/>
                <w:sz w:val="22"/>
                <w:szCs w:val="22"/>
              </w:rPr>
              <w:t>(target number of patients/</w:t>
            </w:r>
            <w:r w:rsidRPr="0D411FA1" w:rsidR="007A75E2">
              <w:rPr>
                <w:i w:val="1"/>
                <w:iCs w:val="1"/>
                <w:color w:val="000000" w:themeColor="text1" w:themeTint="FF" w:themeShade="FF"/>
                <w:sz w:val="22"/>
                <w:szCs w:val="22"/>
              </w:rPr>
              <w:t xml:space="preserve"> </w:t>
            </w:r>
            <w:r w:rsidRPr="0D411FA1" w:rsidR="00467088">
              <w:rPr>
                <w:i w:val="1"/>
                <w:iCs w:val="1"/>
                <w:color w:val="000000" w:themeColor="text1" w:themeTint="FF" w:themeShade="FF"/>
                <w:sz w:val="22"/>
                <w:szCs w:val="22"/>
              </w:rPr>
              <w:t>events during rotation)</w:t>
            </w:r>
          </w:p>
        </w:tc>
      </w:tr>
      <w:tr w:rsidRPr="00E1694A" w:rsidR="005E35F4" w:rsidTr="256B4309" w14:paraId="01F3F00E" w14:textId="77777777">
        <w:trPr>
          <w:trHeight w:val="710"/>
        </w:trPr>
        <w:tc>
          <w:tcPr>
            <w:tcW w:w="1530" w:type="dxa"/>
            <w:tcMar/>
          </w:tcPr>
          <w:p w:rsidRPr="00FD18D5" w:rsidR="005E35F4" w:rsidP="0D411FA1" w:rsidRDefault="00BA628D" w14:paraId="760CFB66" w14:textId="3761FA36">
            <w:pPr>
              <w:pStyle w:val="Normal"/>
              <w:suppressLineNumbers w:val="0"/>
              <w:bidi w:val="0"/>
              <w:spacing w:before="0" w:beforeAutospacing="off" w:after="0" w:afterAutospacing="off" w:line="259" w:lineRule="auto"/>
              <w:ind w:left="0" w:right="0"/>
              <w:jc w:val="center"/>
            </w:pPr>
            <w:r w:rsidRPr="0D411FA1" w:rsidR="7BCD655C">
              <w:rPr>
                <w:b w:val="1"/>
                <w:bCs w:val="1"/>
                <w:color w:val="000000" w:themeColor="text1" w:themeTint="FF" w:themeShade="FF"/>
                <w:sz w:val="22"/>
                <w:szCs w:val="22"/>
              </w:rPr>
              <w:t>MTD2.1</w:t>
            </w:r>
          </w:p>
        </w:tc>
        <w:tc>
          <w:tcPr>
            <w:tcW w:w="5130" w:type="dxa"/>
            <w:tcMar/>
          </w:tcPr>
          <w:p w:rsidRPr="00FD18D5" w:rsidR="00680786" w:rsidP="78A76A87" w:rsidRDefault="00680786" w14:paraId="27142E8D" w14:textId="5388C414">
            <w:pPr>
              <w:spacing w:after="120"/>
              <w:ind w:left="0"/>
              <w:rPr>
                <w:b w:val="1"/>
                <w:bCs w:val="1"/>
                <w:sz w:val="22"/>
                <w:szCs w:val="22"/>
              </w:rPr>
            </w:pPr>
            <w:r w:rsidRPr="78A76A87" w:rsidR="285A0E2D">
              <w:rPr>
                <w:rFonts w:ascii="Aptos" w:hAnsi="Aptos" w:eastAsia="Aptos" w:cs="Aptos"/>
                <w:b w:val="0"/>
                <w:bCs w:val="0"/>
                <w:i w:val="0"/>
                <w:iCs w:val="0"/>
                <w:caps w:val="0"/>
                <w:smallCaps w:val="0"/>
                <w:noProof w:val="0"/>
                <w:color w:val="000000" w:themeColor="text1" w:themeTint="FF" w:themeShade="FF"/>
                <w:sz w:val="24"/>
                <w:szCs w:val="24"/>
                <w:lang w:val="en-US"/>
              </w:rPr>
              <w:t xml:space="preserve">Define the terms “culinary medicine” and “food is medicine.” </w:t>
            </w:r>
            <w:r w:rsidRPr="78A76A87" w:rsidR="285A0E2D">
              <w:rPr>
                <w:rFonts w:ascii="Times New Roman" w:hAnsi="Times New Roman" w:eastAsia="Times New Roman" w:cs="Times New Roman"/>
                <w:noProof w:val="0"/>
                <w:sz w:val="22"/>
                <w:szCs w:val="22"/>
                <w:lang w:val="en-US"/>
              </w:rPr>
              <w:t xml:space="preserve"> </w:t>
            </w:r>
          </w:p>
        </w:tc>
        <w:tc>
          <w:tcPr>
            <w:tcW w:w="1440" w:type="dxa"/>
            <w:tcMar/>
          </w:tcPr>
          <w:p w:rsidRPr="00FD18D5" w:rsidR="005E35F4" w:rsidP="78A76A87" w:rsidRDefault="005E35F4" w14:paraId="4C4A9DA8" w14:textId="19AF0193">
            <w:pPr>
              <w:pStyle w:val="Normal"/>
              <w:rPr>
                <w:rFonts w:ascii="Times New Roman" w:hAnsi="Times New Roman" w:eastAsia="Times New Roman" w:cs="Times New Roman"/>
                <w:noProof w:val="0"/>
                <w:sz w:val="22"/>
                <w:szCs w:val="22"/>
                <w:lang w:val="en-US"/>
              </w:rPr>
            </w:pPr>
            <w:r w:rsidRPr="256B4309" w:rsidR="664500D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Irving and </w:t>
            </w:r>
            <w:r w:rsidRPr="256B4309" w:rsidR="3EE88EB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Alice Brown Teaching Kitchen at Yale New Haven Health</w:t>
            </w:r>
          </w:p>
        </w:tc>
        <w:tc>
          <w:tcPr>
            <w:tcW w:w="1260" w:type="dxa"/>
            <w:tcMar/>
          </w:tcPr>
          <w:p w:rsidRPr="00FD18D5" w:rsidR="005E35F4" w:rsidP="256B4309" w:rsidRDefault="005E35F4" w14:paraId="664AA0B1" w14:textId="04416F90">
            <w:pPr>
              <w:rPr>
                <w:color w:val="000000" w:themeColor="text1" w:themeTint="FF" w:themeShade="FF"/>
                <w:sz w:val="22"/>
                <w:szCs w:val="22"/>
              </w:rPr>
            </w:pPr>
            <w:r w:rsidRPr="256B4309" w:rsidR="096D3F58">
              <w:rPr>
                <w:color w:val="000000" w:themeColor="text1" w:themeTint="FF" w:themeShade="FF"/>
                <w:sz w:val="22"/>
                <w:szCs w:val="22"/>
              </w:rPr>
              <w:t>Attending</w:t>
            </w:r>
            <w:r w:rsidRPr="256B4309" w:rsidR="40AEC96D">
              <w:rPr>
                <w:color w:val="000000" w:themeColor="text1" w:themeTint="FF" w:themeShade="FF"/>
                <w:sz w:val="22"/>
                <w:szCs w:val="22"/>
              </w:rPr>
              <w:t xml:space="preserve"> (YSM assistant professor),</w:t>
            </w:r>
          </w:p>
          <w:p w:rsidRPr="00FD18D5" w:rsidR="005E35F4" w:rsidP="005E35F4" w:rsidRDefault="005E35F4" w14:paraId="658F05FA" w14:textId="1B324C73">
            <w:pPr>
              <w:rPr>
                <w:color w:val="000000"/>
                <w:sz w:val="22"/>
                <w:szCs w:val="22"/>
              </w:rPr>
            </w:pPr>
            <w:r w:rsidRPr="256B4309" w:rsidR="40AEC96D">
              <w:rPr>
                <w:color w:val="000000" w:themeColor="text1" w:themeTint="FF" w:themeShade="FF"/>
                <w:sz w:val="22"/>
                <w:szCs w:val="22"/>
              </w:rPr>
              <w:t xml:space="preserve">Chef-RDs (YSM lecturers) </w:t>
            </w:r>
          </w:p>
        </w:tc>
        <w:tc>
          <w:tcPr>
            <w:tcW w:w="1980" w:type="dxa"/>
            <w:tcMar/>
          </w:tcPr>
          <w:p w:rsidRPr="00FD18D5" w:rsidR="005E35F4" w:rsidP="0D411FA1" w:rsidRDefault="005E35F4" w14:paraId="3D32D1B4" w14:textId="5C1003E6">
            <w:pPr>
              <w:rPr>
                <w:color w:val="000000" w:themeColor="text1" w:themeTint="FF" w:themeShade="FF"/>
                <w:sz w:val="22"/>
                <w:szCs w:val="22"/>
              </w:rPr>
            </w:pPr>
            <w:r w:rsidRPr="0D411FA1" w:rsidR="005E35F4">
              <w:rPr>
                <w:color w:val="000000" w:themeColor="text1" w:themeTint="FF" w:themeShade="FF"/>
                <w:sz w:val="22"/>
                <w:szCs w:val="22"/>
              </w:rPr>
              <w:t xml:space="preserve"> </w:t>
            </w:r>
            <w:r w:rsidRPr="0D411FA1" w:rsidR="730D9721">
              <w:rPr>
                <w:color w:val="000000" w:themeColor="text1" w:themeTint="FF" w:themeShade="FF"/>
                <w:sz w:val="22"/>
                <w:szCs w:val="22"/>
              </w:rPr>
              <w:t>Final presentation</w:t>
            </w:r>
          </w:p>
          <w:p w:rsidRPr="00FD18D5" w:rsidR="005E35F4" w:rsidP="0D411FA1" w:rsidRDefault="005E35F4" w14:paraId="3AE540C1" w14:textId="0A042DC1">
            <w:pPr>
              <w:rPr>
                <w:color w:val="000000"/>
                <w:sz w:val="22"/>
                <w:szCs w:val="22"/>
              </w:rPr>
            </w:pPr>
            <w:r w:rsidRPr="0D411FA1" w:rsidR="730D9721">
              <w:rPr>
                <w:color w:val="000000" w:themeColor="text1" w:themeTint="FF" w:themeShade="FF"/>
                <w:sz w:val="22"/>
                <w:szCs w:val="22"/>
              </w:rPr>
              <w:t>End of elective evaluation form</w:t>
            </w:r>
          </w:p>
        </w:tc>
        <w:tc>
          <w:tcPr>
            <w:tcW w:w="1800" w:type="dxa"/>
            <w:tcMar/>
          </w:tcPr>
          <w:p w:rsidRPr="00FD18D5" w:rsidR="005E35F4" w:rsidP="0D411FA1" w:rsidRDefault="005E35F4" w14:paraId="07F20C66" w14:textId="4C199C9B">
            <w:pPr>
              <w:rPr>
                <w:color w:val="000000"/>
                <w:sz w:val="22"/>
                <w:szCs w:val="22"/>
              </w:rPr>
            </w:pPr>
            <w:r w:rsidRPr="0D411FA1" w:rsidR="730D9721">
              <w:rPr>
                <w:color w:val="000000" w:themeColor="text1" w:themeTint="FF" w:themeShade="FF"/>
                <w:sz w:val="22"/>
                <w:szCs w:val="22"/>
              </w:rPr>
              <w:t>End of elective in person feedback discussion</w:t>
            </w:r>
          </w:p>
        </w:tc>
        <w:tc>
          <w:tcPr>
            <w:tcW w:w="1512" w:type="dxa"/>
            <w:tcMar/>
          </w:tcPr>
          <w:p w:rsidRPr="00FD18D5" w:rsidR="005E35F4" w:rsidP="005E35F4" w:rsidRDefault="005E35F4" w14:paraId="6BD26830" w14:textId="51220C66">
            <w:pPr>
              <w:rPr>
                <w:color w:val="000000"/>
                <w:sz w:val="22"/>
                <w:szCs w:val="22"/>
              </w:rPr>
            </w:pPr>
            <w:r w:rsidRPr="0D411FA1" w:rsidR="5805DD80">
              <w:rPr>
                <w:color w:val="000000" w:themeColor="text1" w:themeTint="FF" w:themeShade="FF"/>
                <w:sz w:val="22"/>
                <w:szCs w:val="22"/>
              </w:rPr>
              <w:t>N/A</w:t>
            </w:r>
          </w:p>
        </w:tc>
      </w:tr>
      <w:tr w:rsidRPr="00E1694A" w:rsidR="005E35F4" w:rsidTr="256B4309" w14:paraId="68C1D71E" w14:textId="77777777">
        <w:trPr>
          <w:trHeight w:val="710"/>
        </w:trPr>
        <w:tc>
          <w:tcPr>
            <w:tcW w:w="1530" w:type="dxa"/>
            <w:tcMar/>
          </w:tcPr>
          <w:p w:rsidRPr="00FD18D5" w:rsidR="005E35F4" w:rsidP="0D411FA1" w:rsidRDefault="00BA628D" w14:paraId="064CEAE2" w14:textId="0CA217F4">
            <w:pPr>
              <w:pStyle w:val="Normal"/>
              <w:suppressLineNumbers w:val="0"/>
              <w:bidi w:val="0"/>
              <w:spacing w:before="0" w:beforeAutospacing="off" w:after="0" w:afterAutospacing="off" w:line="259" w:lineRule="auto"/>
              <w:ind w:left="0" w:right="0"/>
              <w:jc w:val="center"/>
            </w:pPr>
            <w:r w:rsidRPr="0D411FA1" w:rsidR="220B41AD">
              <w:rPr>
                <w:b w:val="1"/>
                <w:bCs w:val="1"/>
                <w:color w:val="000000" w:themeColor="text1" w:themeTint="FF" w:themeShade="FF"/>
                <w:sz w:val="22"/>
                <w:szCs w:val="22"/>
              </w:rPr>
              <w:t>HP1.2</w:t>
            </w:r>
          </w:p>
        </w:tc>
        <w:tc>
          <w:tcPr>
            <w:tcW w:w="5130" w:type="dxa"/>
            <w:tcMar/>
          </w:tcPr>
          <w:p w:rsidRPr="00FD18D5" w:rsidR="005E35F4" w:rsidP="78A76A87" w:rsidRDefault="005E35F4" w14:paraId="1AE5CBF6" w14:textId="31268704">
            <w:pPr>
              <w:spacing w:after="120"/>
              <w:ind/>
            </w:pPr>
            <w:r w:rsidRPr="78A76A87" w:rsidR="1CF5CBD5">
              <w:rPr>
                <w:rFonts w:ascii="Aptos" w:hAnsi="Aptos" w:eastAsia="Aptos" w:cs="Aptos"/>
                <w:b w:val="0"/>
                <w:bCs w:val="0"/>
                <w:i w:val="0"/>
                <w:iCs w:val="0"/>
                <w:caps w:val="0"/>
                <w:smallCaps w:val="0"/>
                <w:noProof w:val="0"/>
                <w:color w:val="000000" w:themeColor="text1" w:themeTint="FF" w:themeShade="FF"/>
                <w:sz w:val="24"/>
                <w:szCs w:val="24"/>
                <w:lang w:val="en-US"/>
              </w:rPr>
              <w:t xml:space="preserve">Describe the composition of a health-promoting diet and how adopting such a diet can impact the risk of developing a diet-related disease. </w:t>
            </w:r>
            <w:r w:rsidRPr="78A76A87" w:rsidR="1CF5CBD5">
              <w:rPr>
                <w:rFonts w:ascii="Times New Roman" w:hAnsi="Times New Roman" w:eastAsia="Times New Roman" w:cs="Times New Roman"/>
                <w:noProof w:val="0"/>
                <w:sz w:val="22"/>
                <w:szCs w:val="22"/>
                <w:lang w:val="en-US"/>
              </w:rPr>
              <w:t xml:space="preserve"> </w:t>
            </w:r>
          </w:p>
          <w:p w:rsidRPr="00FD18D5" w:rsidR="005E35F4" w:rsidP="78A76A87" w:rsidRDefault="005E35F4" w14:paraId="7EC6D6D7" w14:textId="40B8ED48">
            <w:pPr>
              <w:spacing w:after="120"/>
              <w:ind w:left="0"/>
              <w:rPr>
                <w:sz w:val="22"/>
                <w:szCs w:val="22"/>
              </w:rPr>
            </w:pPr>
            <w:r w:rsidRPr="78A76A87" w:rsidR="005E35F4">
              <w:rPr>
                <w:sz w:val="22"/>
                <w:szCs w:val="22"/>
              </w:rPr>
              <w:t xml:space="preserve"> </w:t>
            </w:r>
          </w:p>
        </w:tc>
        <w:tc>
          <w:tcPr>
            <w:tcW w:w="1440" w:type="dxa"/>
            <w:tcMar/>
          </w:tcPr>
          <w:p w:rsidRPr="00FD18D5" w:rsidR="005E35F4" w:rsidP="256B4309" w:rsidRDefault="005E35F4" w14:paraId="2D2D006D" w14:textId="79F5B519">
            <w:pPr>
              <w:pStyle w:val="Normal"/>
              <w:rPr>
                <w:rFonts w:ascii="Times New Roman" w:hAnsi="Times New Roman" w:eastAsia="Times New Roman" w:cs="Times New Roman"/>
                <w:noProof w:val="0"/>
                <w:sz w:val="22"/>
                <w:szCs w:val="22"/>
                <w:lang w:val="en-US"/>
              </w:rPr>
            </w:pPr>
            <w:r w:rsidRPr="256B4309" w:rsidR="2C63F6A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Irving and Alice Brown Teaching Kitchen at Yale New Haven Health</w:t>
            </w:r>
          </w:p>
        </w:tc>
        <w:tc>
          <w:tcPr>
            <w:tcW w:w="1260" w:type="dxa"/>
            <w:tcMar/>
          </w:tcPr>
          <w:p w:rsidRPr="00FD18D5" w:rsidR="005E35F4" w:rsidP="256B4309" w:rsidRDefault="005E35F4" w14:paraId="5E400C26" w14:textId="04416F90">
            <w:pPr>
              <w:suppressLineNumbers w:val="0"/>
              <w:spacing w:before="0" w:beforeAutospacing="off" w:after="0" w:afterAutospacing="off" w:line="259" w:lineRule="auto"/>
              <w:ind/>
              <w:rPr>
                <w:color w:val="000000" w:themeColor="text1" w:themeTint="FF" w:themeShade="FF"/>
                <w:sz w:val="22"/>
                <w:szCs w:val="22"/>
              </w:rPr>
            </w:pPr>
            <w:r w:rsidRPr="256B4309" w:rsidR="6BA1201B">
              <w:rPr>
                <w:color w:val="000000" w:themeColor="text1" w:themeTint="FF" w:themeShade="FF"/>
                <w:sz w:val="22"/>
                <w:szCs w:val="22"/>
              </w:rPr>
              <w:t>Attending (YSM assistant professor),</w:t>
            </w:r>
          </w:p>
          <w:p w:rsidRPr="00FD18D5" w:rsidR="005E35F4" w:rsidP="256B4309" w:rsidRDefault="005E35F4" w14:paraId="02CFFFF1" w14:textId="06226A5D">
            <w:pPr>
              <w:suppressLineNumbers w:val="0"/>
              <w:spacing w:before="0" w:beforeAutospacing="off" w:after="0" w:afterAutospacing="off" w:line="259" w:lineRule="auto"/>
              <w:ind/>
              <w:rPr>
                <w:color w:val="000000" w:themeColor="text1" w:themeTint="FF" w:themeShade="FF"/>
                <w:sz w:val="22"/>
                <w:szCs w:val="22"/>
              </w:rPr>
            </w:pPr>
            <w:r w:rsidRPr="256B4309" w:rsidR="6BA1201B">
              <w:rPr>
                <w:color w:val="000000" w:themeColor="text1" w:themeTint="FF" w:themeShade="FF"/>
                <w:sz w:val="22"/>
                <w:szCs w:val="22"/>
              </w:rPr>
              <w:t>Chef-RDs (YSM lecturers)</w:t>
            </w:r>
          </w:p>
          <w:p w:rsidRPr="00FD18D5" w:rsidR="005E35F4" w:rsidP="0D411FA1" w:rsidRDefault="005E35F4" w14:paraId="32761510" w14:textId="559FBF94">
            <w:pPr>
              <w:pStyle w:val="Normal"/>
              <w:suppressLineNumbers w:val="0"/>
              <w:bidi w:val="0"/>
              <w:spacing w:before="0" w:beforeAutospacing="off" w:after="0" w:afterAutospacing="off" w:line="259" w:lineRule="auto"/>
              <w:ind w:left="0" w:right="0"/>
              <w:jc w:val="left"/>
              <w:rPr>
                <w:color w:val="000000" w:themeColor="text1" w:themeTint="FF" w:themeShade="FF"/>
                <w:sz w:val="22"/>
                <w:szCs w:val="22"/>
              </w:rPr>
            </w:pPr>
          </w:p>
        </w:tc>
        <w:tc>
          <w:tcPr>
            <w:tcW w:w="1980" w:type="dxa"/>
            <w:tcMar/>
          </w:tcPr>
          <w:p w:rsidRPr="00FD18D5" w:rsidR="005E35F4" w:rsidP="0D411FA1" w:rsidRDefault="005E35F4" w14:paraId="7712DAE1" w14:textId="1FB847EE">
            <w:pPr>
              <w:rPr>
                <w:color w:val="000000"/>
                <w:sz w:val="22"/>
                <w:szCs w:val="22"/>
              </w:rPr>
            </w:pPr>
            <w:r w:rsidRPr="0D411FA1" w:rsidR="46EA548B">
              <w:rPr>
                <w:color w:val="000000" w:themeColor="text1" w:themeTint="FF" w:themeShade="FF"/>
                <w:sz w:val="22"/>
                <w:szCs w:val="22"/>
              </w:rPr>
              <w:t>End of elective evaluation (narrative)</w:t>
            </w:r>
          </w:p>
        </w:tc>
        <w:tc>
          <w:tcPr>
            <w:tcW w:w="1800" w:type="dxa"/>
            <w:tcMar/>
          </w:tcPr>
          <w:p w:rsidRPr="00FD18D5" w:rsidR="005E35F4" w:rsidP="0D411FA1" w:rsidRDefault="005E35F4" w14:paraId="682787B3" w14:textId="4C199C9B">
            <w:pPr>
              <w:rPr>
                <w:color w:val="000000" w:themeColor="text1" w:themeTint="FF" w:themeShade="FF"/>
                <w:sz w:val="22"/>
                <w:szCs w:val="22"/>
              </w:rPr>
            </w:pPr>
            <w:r w:rsidRPr="0D411FA1" w:rsidR="46EA548B">
              <w:rPr>
                <w:color w:val="000000" w:themeColor="text1" w:themeTint="FF" w:themeShade="FF"/>
                <w:sz w:val="22"/>
                <w:szCs w:val="22"/>
              </w:rPr>
              <w:t>End of elective in person feedback discussion</w:t>
            </w:r>
          </w:p>
          <w:p w:rsidRPr="00FD18D5" w:rsidR="005E35F4" w:rsidP="0D411FA1" w:rsidRDefault="005E35F4" w14:paraId="2963E24D" w14:textId="2E297B18">
            <w:pPr>
              <w:rPr>
                <w:color w:val="000000"/>
                <w:sz w:val="22"/>
                <w:szCs w:val="22"/>
              </w:rPr>
            </w:pPr>
          </w:p>
        </w:tc>
        <w:tc>
          <w:tcPr>
            <w:tcW w:w="1512" w:type="dxa"/>
            <w:tcMar/>
          </w:tcPr>
          <w:p w:rsidRPr="00FD18D5" w:rsidR="005E35F4" w:rsidP="005E35F4" w:rsidRDefault="005E35F4" w14:paraId="77ED617C" w14:textId="0AC0879C">
            <w:pPr>
              <w:rPr>
                <w:color w:val="000000"/>
                <w:sz w:val="22"/>
                <w:szCs w:val="22"/>
              </w:rPr>
            </w:pPr>
            <w:r w:rsidRPr="78A76A87" w:rsidR="0D0CAA98">
              <w:rPr>
                <w:color w:val="000000" w:themeColor="text1" w:themeTint="FF" w:themeShade="FF"/>
                <w:sz w:val="22"/>
                <w:szCs w:val="22"/>
              </w:rPr>
              <w:t>N/A</w:t>
            </w:r>
          </w:p>
        </w:tc>
      </w:tr>
      <w:tr w:rsidRPr="00E1694A" w:rsidR="005E35F4" w:rsidTr="256B4309" w14:paraId="549D0800" w14:textId="77777777">
        <w:trPr>
          <w:trHeight w:val="710"/>
        </w:trPr>
        <w:tc>
          <w:tcPr>
            <w:tcW w:w="1530" w:type="dxa"/>
            <w:tcMar/>
          </w:tcPr>
          <w:p w:rsidRPr="00FD18D5" w:rsidR="005E35F4" w:rsidP="78A76A87" w:rsidRDefault="00BA628D" w14:paraId="6F668A83" w14:textId="1810A79D">
            <w:pPr>
              <w:jc w:val="center"/>
              <w:rPr>
                <w:b w:val="1"/>
                <w:bCs w:val="1"/>
                <w:color w:val="000000"/>
                <w:sz w:val="22"/>
                <w:szCs w:val="22"/>
              </w:rPr>
            </w:pPr>
            <w:r w:rsidRPr="0D411FA1" w:rsidR="5B6B010A">
              <w:rPr>
                <w:b w:val="1"/>
                <w:bCs w:val="1"/>
                <w:color w:val="000000" w:themeColor="text1" w:themeTint="FF" w:themeShade="FF"/>
                <w:sz w:val="22"/>
                <w:szCs w:val="22"/>
              </w:rPr>
              <w:t>CM6.2 and CM6.3</w:t>
            </w:r>
          </w:p>
        </w:tc>
        <w:tc>
          <w:tcPr>
            <w:tcW w:w="5130" w:type="dxa"/>
            <w:tcMar/>
          </w:tcPr>
          <w:p w:rsidRPr="00FD18D5" w:rsidR="005E35F4" w:rsidP="78A76A87" w:rsidRDefault="005E35F4" w14:paraId="2D4FC8C1" w14:textId="29956D67">
            <w:pPr>
              <w:spacing w:after="120"/>
              <w:ind/>
            </w:pPr>
            <w:r w:rsidRPr="78A76A87" w:rsidR="215FAD79">
              <w:rPr>
                <w:rFonts w:ascii="Aptos" w:hAnsi="Aptos" w:eastAsia="Aptos" w:cs="Aptos"/>
                <w:b w:val="0"/>
                <w:bCs w:val="0"/>
                <w:i w:val="0"/>
                <w:iCs w:val="0"/>
                <w:caps w:val="0"/>
                <w:smallCaps w:val="0"/>
                <w:noProof w:val="0"/>
                <w:color w:val="000000" w:themeColor="text1" w:themeTint="FF" w:themeShade="FF"/>
                <w:sz w:val="24"/>
                <w:szCs w:val="24"/>
                <w:lang w:val="en-US"/>
              </w:rPr>
              <w:t xml:space="preserve">Describe how culinary medicine can be used to educate patients and medical trainees and some of its potential benefits over didactics-only education. </w:t>
            </w:r>
            <w:r w:rsidRPr="78A76A87" w:rsidR="215FAD79">
              <w:rPr>
                <w:rFonts w:ascii="Times New Roman" w:hAnsi="Times New Roman" w:eastAsia="Times New Roman" w:cs="Times New Roman"/>
                <w:noProof w:val="0"/>
                <w:sz w:val="22"/>
                <w:szCs w:val="22"/>
                <w:lang w:val="en-US"/>
              </w:rPr>
              <w:t xml:space="preserve"> </w:t>
            </w:r>
          </w:p>
          <w:p w:rsidRPr="00FD18D5" w:rsidR="005E35F4" w:rsidP="78A76A87" w:rsidRDefault="005E35F4" w14:paraId="15366B1B" w14:textId="1329540E">
            <w:pPr>
              <w:spacing w:after="120"/>
              <w:ind/>
              <w:rPr>
                <w:sz w:val="22"/>
                <w:szCs w:val="22"/>
              </w:rPr>
            </w:pPr>
          </w:p>
        </w:tc>
        <w:tc>
          <w:tcPr>
            <w:tcW w:w="1440" w:type="dxa"/>
            <w:tcMar/>
          </w:tcPr>
          <w:p w:rsidRPr="00FD18D5" w:rsidR="005E35F4" w:rsidP="256B4309" w:rsidRDefault="005E35F4" w14:paraId="63B7BAAE" w14:textId="1401FB95">
            <w:pPr>
              <w:pStyle w:val="Normal"/>
              <w:rPr>
                <w:rFonts w:ascii="Times New Roman" w:hAnsi="Times New Roman" w:eastAsia="Times New Roman" w:cs="Times New Roman"/>
                <w:noProof w:val="0"/>
                <w:sz w:val="22"/>
                <w:szCs w:val="22"/>
                <w:lang w:val="en-US"/>
              </w:rPr>
            </w:pPr>
            <w:r w:rsidRPr="256B4309" w:rsidR="4EAF5AA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Irving and Alice Brown Teaching Kitchen at Yale New Haven Health</w:t>
            </w:r>
          </w:p>
        </w:tc>
        <w:tc>
          <w:tcPr>
            <w:tcW w:w="1260" w:type="dxa"/>
            <w:tcMar/>
          </w:tcPr>
          <w:p w:rsidRPr="00FD18D5" w:rsidR="005E35F4" w:rsidP="256B4309" w:rsidRDefault="005E35F4" w14:paraId="020CF519" w14:textId="04416F90">
            <w:pPr>
              <w:rPr>
                <w:color w:val="000000" w:themeColor="text1" w:themeTint="FF" w:themeShade="FF"/>
                <w:sz w:val="22"/>
                <w:szCs w:val="22"/>
              </w:rPr>
            </w:pPr>
            <w:r w:rsidRPr="256B4309" w:rsidR="1682AC8D">
              <w:rPr>
                <w:color w:val="000000" w:themeColor="text1" w:themeTint="FF" w:themeShade="FF"/>
                <w:sz w:val="22"/>
                <w:szCs w:val="22"/>
              </w:rPr>
              <w:t>Attending (YSM assistant professor),</w:t>
            </w:r>
          </w:p>
          <w:p w:rsidRPr="00FD18D5" w:rsidR="005E35F4" w:rsidP="256B4309" w:rsidRDefault="005E35F4" w14:paraId="39E645BE" w14:textId="0D73512C">
            <w:pPr>
              <w:rPr>
                <w:color w:val="000000" w:themeColor="text1" w:themeTint="FF" w:themeShade="FF"/>
                <w:sz w:val="22"/>
                <w:szCs w:val="22"/>
              </w:rPr>
            </w:pPr>
            <w:r w:rsidRPr="256B4309" w:rsidR="1682AC8D">
              <w:rPr>
                <w:color w:val="000000" w:themeColor="text1" w:themeTint="FF" w:themeShade="FF"/>
                <w:sz w:val="22"/>
                <w:szCs w:val="22"/>
              </w:rPr>
              <w:t>Chef-RDs (YSM lecturers), peers</w:t>
            </w:r>
          </w:p>
          <w:p w:rsidRPr="00FD18D5" w:rsidR="005E35F4" w:rsidP="005E35F4" w:rsidRDefault="005E35F4" w14:paraId="1A81972E" w14:textId="009E6F6A">
            <w:pPr>
              <w:rPr>
                <w:color w:val="000000"/>
                <w:sz w:val="22"/>
                <w:szCs w:val="22"/>
              </w:rPr>
            </w:pPr>
          </w:p>
        </w:tc>
        <w:tc>
          <w:tcPr>
            <w:tcW w:w="1980" w:type="dxa"/>
            <w:tcMar/>
          </w:tcPr>
          <w:p w:rsidRPr="00FD18D5" w:rsidR="005E35F4" w:rsidP="0D411FA1" w:rsidRDefault="005E35F4" w14:paraId="23F27D2F" w14:textId="333E27F1">
            <w:pPr>
              <w:rPr>
                <w:color w:val="000000" w:themeColor="text1" w:themeTint="FF" w:themeShade="FF"/>
                <w:sz w:val="22"/>
                <w:szCs w:val="22"/>
              </w:rPr>
            </w:pPr>
            <w:r w:rsidRPr="0D411FA1" w:rsidR="5380500B">
              <w:rPr>
                <w:color w:val="000000" w:themeColor="text1" w:themeTint="FF" w:themeShade="FF"/>
                <w:sz w:val="22"/>
                <w:szCs w:val="22"/>
              </w:rPr>
              <w:t>Production of educational materials</w:t>
            </w:r>
          </w:p>
          <w:p w:rsidRPr="00FD18D5" w:rsidR="005E35F4" w:rsidP="0D411FA1" w:rsidRDefault="005E35F4" w14:paraId="78917DC0" w14:textId="658BC62B">
            <w:pPr>
              <w:rPr>
                <w:color w:val="000000"/>
                <w:sz w:val="22"/>
                <w:szCs w:val="22"/>
              </w:rPr>
            </w:pPr>
            <w:r w:rsidRPr="0D411FA1" w:rsidR="5380500B">
              <w:rPr>
                <w:color w:val="000000" w:themeColor="text1" w:themeTint="FF" w:themeShade="FF"/>
                <w:sz w:val="22"/>
                <w:szCs w:val="22"/>
              </w:rPr>
              <w:t>End of elective evaluation (narrative)</w:t>
            </w:r>
          </w:p>
        </w:tc>
        <w:tc>
          <w:tcPr>
            <w:tcW w:w="1800" w:type="dxa"/>
            <w:tcMar/>
          </w:tcPr>
          <w:p w:rsidRPr="00FD18D5" w:rsidR="005E35F4" w:rsidP="0D411FA1" w:rsidRDefault="005E35F4" w14:paraId="009217E1" w14:textId="59C918C8">
            <w:pPr>
              <w:rPr>
                <w:color w:val="000000"/>
                <w:sz w:val="22"/>
                <w:szCs w:val="22"/>
              </w:rPr>
            </w:pPr>
            <w:r w:rsidRPr="0D411FA1" w:rsidR="5380500B">
              <w:rPr>
                <w:color w:val="000000" w:themeColor="text1" w:themeTint="FF" w:themeShade="FF"/>
                <w:sz w:val="22"/>
                <w:szCs w:val="22"/>
              </w:rPr>
              <w:t>Mid and end of elective in person feedback</w:t>
            </w:r>
          </w:p>
        </w:tc>
        <w:tc>
          <w:tcPr>
            <w:tcW w:w="1512" w:type="dxa"/>
            <w:tcMar/>
          </w:tcPr>
          <w:p w:rsidRPr="00FD18D5" w:rsidR="005E35F4" w:rsidP="005E35F4" w:rsidRDefault="005E35F4" w14:paraId="7FAAC037" w14:textId="148464C4">
            <w:pPr>
              <w:rPr>
                <w:color w:val="000000"/>
                <w:sz w:val="22"/>
                <w:szCs w:val="22"/>
              </w:rPr>
            </w:pPr>
            <w:r w:rsidRPr="78A76A87" w:rsidR="41258636">
              <w:rPr>
                <w:color w:val="000000" w:themeColor="text1" w:themeTint="FF" w:themeShade="FF"/>
                <w:sz w:val="22"/>
                <w:szCs w:val="22"/>
              </w:rPr>
              <w:t>N/A</w:t>
            </w:r>
          </w:p>
        </w:tc>
      </w:tr>
      <w:tr w:rsidRPr="00E1694A" w:rsidR="005E35F4" w:rsidTr="256B4309" w14:paraId="3CB5B622" w14:textId="77777777">
        <w:trPr>
          <w:trHeight w:val="710"/>
        </w:trPr>
        <w:tc>
          <w:tcPr>
            <w:tcW w:w="1530" w:type="dxa"/>
            <w:tcMar/>
          </w:tcPr>
          <w:p w:rsidRPr="00FD18D5" w:rsidR="005E35F4" w:rsidP="0D411FA1" w:rsidRDefault="00BA628D" w14:paraId="2748BD58" w14:textId="6C1810CA">
            <w:pPr>
              <w:pStyle w:val="Normal"/>
              <w:jc w:val="center"/>
            </w:pPr>
            <w:r w:rsidRPr="0D411FA1" w:rsidR="7706138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PS9.1</w:t>
            </w:r>
          </w:p>
        </w:tc>
        <w:tc>
          <w:tcPr>
            <w:tcW w:w="5130" w:type="dxa"/>
            <w:tcMar/>
          </w:tcPr>
          <w:p w:rsidRPr="00FD18D5" w:rsidR="005E35F4" w:rsidP="78A76A87" w:rsidRDefault="005E35F4" w14:paraId="109D4523" w14:textId="2699B2F2">
            <w:pPr>
              <w:spacing w:after="120"/>
              <w:ind/>
            </w:pPr>
            <w:r w:rsidRPr="78A76A87" w:rsidR="0AA5A039">
              <w:rPr>
                <w:rFonts w:ascii="Aptos" w:hAnsi="Aptos" w:eastAsia="Aptos" w:cs="Aptos"/>
                <w:b w:val="0"/>
                <w:bCs w:val="0"/>
                <w:i w:val="0"/>
                <w:iCs w:val="0"/>
                <w:caps w:val="0"/>
                <w:smallCaps w:val="0"/>
                <w:noProof w:val="0"/>
                <w:color w:val="000000" w:themeColor="text1" w:themeTint="FF" w:themeShade="FF"/>
                <w:sz w:val="24"/>
                <w:szCs w:val="24"/>
                <w:lang w:val="en-US"/>
              </w:rPr>
              <w:t xml:space="preserve">Synthesize high-quality, peer-reviewed research to evaluate the health claims of at least one common nutrition trend. </w:t>
            </w:r>
            <w:r w:rsidRPr="78A76A87" w:rsidR="0AA5A039">
              <w:rPr>
                <w:rFonts w:ascii="Times New Roman" w:hAnsi="Times New Roman" w:eastAsia="Times New Roman" w:cs="Times New Roman"/>
                <w:noProof w:val="0"/>
                <w:sz w:val="22"/>
                <w:szCs w:val="22"/>
                <w:lang w:val="en-US"/>
              </w:rPr>
              <w:t xml:space="preserve"> </w:t>
            </w:r>
          </w:p>
          <w:p w:rsidRPr="00FD18D5" w:rsidR="005E35F4" w:rsidP="78A76A87" w:rsidRDefault="005E35F4" w14:paraId="045B30A3" w14:textId="4931268A">
            <w:pPr>
              <w:spacing w:after="120"/>
              <w:ind/>
              <w:rPr>
                <w:sz w:val="22"/>
                <w:szCs w:val="22"/>
              </w:rPr>
            </w:pPr>
          </w:p>
        </w:tc>
        <w:tc>
          <w:tcPr>
            <w:tcW w:w="1440" w:type="dxa"/>
            <w:tcMar/>
          </w:tcPr>
          <w:p w:rsidRPr="00FD18D5" w:rsidR="005E35F4" w:rsidP="256B4309" w:rsidRDefault="005E35F4" w14:paraId="39659616" w14:textId="71BC2B5C">
            <w:pPr>
              <w:pStyle w:val="Normal"/>
              <w:rPr>
                <w:rFonts w:ascii="Times New Roman" w:hAnsi="Times New Roman" w:eastAsia="Times New Roman" w:cs="Times New Roman"/>
                <w:noProof w:val="0"/>
                <w:sz w:val="22"/>
                <w:szCs w:val="22"/>
                <w:lang w:val="en-US"/>
              </w:rPr>
            </w:pPr>
            <w:r w:rsidRPr="256B4309" w:rsidR="0A0A070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Irving and Alice Brown Teaching Kitchen at Yale New Haven Health</w:t>
            </w:r>
          </w:p>
        </w:tc>
        <w:tc>
          <w:tcPr>
            <w:tcW w:w="1260" w:type="dxa"/>
            <w:tcMar/>
          </w:tcPr>
          <w:p w:rsidRPr="00FD18D5" w:rsidR="005E35F4" w:rsidP="256B4309" w:rsidRDefault="005E35F4" w14:paraId="4F41F58F" w14:textId="04416F90">
            <w:pPr>
              <w:suppressLineNumbers w:val="0"/>
              <w:spacing w:before="0" w:beforeAutospacing="off" w:after="0" w:afterAutospacing="off" w:line="259" w:lineRule="auto"/>
              <w:ind/>
              <w:rPr>
                <w:color w:val="000000" w:themeColor="text1" w:themeTint="FF" w:themeShade="FF"/>
                <w:sz w:val="22"/>
                <w:szCs w:val="22"/>
              </w:rPr>
            </w:pPr>
            <w:r w:rsidRPr="256B4309" w:rsidR="5DB98C94">
              <w:rPr>
                <w:color w:val="000000" w:themeColor="text1" w:themeTint="FF" w:themeShade="FF"/>
                <w:sz w:val="22"/>
                <w:szCs w:val="22"/>
              </w:rPr>
              <w:t>Attending (YSM assistant professor),</w:t>
            </w:r>
          </w:p>
          <w:p w:rsidRPr="00FD18D5" w:rsidR="005E35F4" w:rsidP="256B4309" w:rsidRDefault="005E35F4" w14:paraId="093B9EAA" w14:textId="2E14F617">
            <w:pPr>
              <w:suppressLineNumbers w:val="0"/>
              <w:spacing w:before="0" w:beforeAutospacing="off" w:after="0" w:afterAutospacing="off" w:line="259" w:lineRule="auto"/>
              <w:ind/>
              <w:rPr>
                <w:color w:val="000000" w:themeColor="text1" w:themeTint="FF" w:themeShade="FF"/>
                <w:sz w:val="22"/>
                <w:szCs w:val="22"/>
              </w:rPr>
            </w:pPr>
            <w:r w:rsidRPr="256B4309" w:rsidR="5DB98C94">
              <w:rPr>
                <w:color w:val="000000" w:themeColor="text1" w:themeTint="FF" w:themeShade="FF"/>
                <w:sz w:val="22"/>
                <w:szCs w:val="22"/>
              </w:rPr>
              <w:t>Chef-RDs (YSM lecturers), peers</w:t>
            </w:r>
          </w:p>
        </w:tc>
        <w:tc>
          <w:tcPr>
            <w:tcW w:w="1980" w:type="dxa"/>
            <w:tcMar/>
          </w:tcPr>
          <w:p w:rsidRPr="00FD18D5" w:rsidR="005E35F4" w:rsidP="0D411FA1" w:rsidRDefault="005E35F4" w14:paraId="4F429CF9" w14:textId="791A5960">
            <w:pPr>
              <w:rPr>
                <w:color w:val="000000"/>
                <w:sz w:val="22"/>
                <w:szCs w:val="22"/>
              </w:rPr>
            </w:pPr>
            <w:r w:rsidRPr="0D411FA1" w:rsidR="138AAEFE">
              <w:rPr>
                <w:color w:val="000000" w:themeColor="text1" w:themeTint="FF" w:themeShade="FF"/>
                <w:sz w:val="22"/>
                <w:szCs w:val="22"/>
              </w:rPr>
              <w:t xml:space="preserve">Completion of an end-of-elective </w:t>
            </w:r>
            <w:r w:rsidRPr="0D411FA1" w:rsidR="138AAEFE">
              <w:rPr>
                <w:color w:val="000000" w:themeColor="text1" w:themeTint="FF" w:themeShade="FF"/>
                <w:sz w:val="22"/>
                <w:szCs w:val="22"/>
              </w:rPr>
              <w:t>20-minute</w:t>
            </w:r>
            <w:r w:rsidRPr="0D411FA1" w:rsidR="138AAEFE">
              <w:rPr>
                <w:color w:val="000000" w:themeColor="text1" w:themeTint="FF" w:themeShade="FF"/>
                <w:sz w:val="22"/>
                <w:szCs w:val="22"/>
              </w:rPr>
              <w:t xml:space="preserve"> oral presentation</w:t>
            </w:r>
          </w:p>
        </w:tc>
        <w:tc>
          <w:tcPr>
            <w:tcW w:w="1800" w:type="dxa"/>
            <w:tcMar/>
          </w:tcPr>
          <w:p w:rsidRPr="00FD18D5" w:rsidR="005E35F4" w:rsidP="0D411FA1" w:rsidRDefault="005E35F4" w14:paraId="498CE5A8" w14:textId="25AADDA4">
            <w:pPr>
              <w:rPr>
                <w:color w:val="000000"/>
                <w:sz w:val="22"/>
                <w:szCs w:val="22"/>
              </w:rPr>
            </w:pPr>
            <w:r w:rsidRPr="0D411FA1" w:rsidR="138AAEFE">
              <w:rPr>
                <w:color w:val="000000" w:themeColor="text1" w:themeTint="FF" w:themeShade="FF"/>
                <w:sz w:val="22"/>
                <w:szCs w:val="22"/>
              </w:rPr>
              <w:t>Post-presentation feedback</w:t>
            </w:r>
          </w:p>
        </w:tc>
        <w:tc>
          <w:tcPr>
            <w:tcW w:w="1512" w:type="dxa"/>
            <w:tcMar/>
          </w:tcPr>
          <w:p w:rsidRPr="00FD18D5" w:rsidR="005E35F4" w:rsidP="005E35F4" w:rsidRDefault="005E35F4" w14:paraId="3D5338C5" w14:textId="151ABD9A">
            <w:pPr>
              <w:rPr>
                <w:color w:val="000000"/>
                <w:sz w:val="22"/>
                <w:szCs w:val="22"/>
              </w:rPr>
            </w:pPr>
            <w:r w:rsidRPr="78A76A87" w:rsidR="2421B187">
              <w:rPr>
                <w:color w:val="000000" w:themeColor="text1" w:themeTint="FF" w:themeShade="FF"/>
                <w:sz w:val="22"/>
                <w:szCs w:val="22"/>
              </w:rPr>
              <w:t>N/A</w:t>
            </w:r>
          </w:p>
        </w:tc>
      </w:tr>
      <w:tr w:rsidRPr="00E1694A" w:rsidR="005E35F4" w:rsidTr="256B4309" w14:paraId="639A5363" w14:textId="77777777">
        <w:trPr>
          <w:trHeight w:val="710"/>
        </w:trPr>
        <w:tc>
          <w:tcPr>
            <w:tcW w:w="1530" w:type="dxa"/>
            <w:tcMar/>
          </w:tcPr>
          <w:p w:rsidRPr="00FD18D5" w:rsidR="005E35F4" w:rsidP="0D411FA1" w:rsidRDefault="00BA628D" w14:paraId="221904A7" w14:textId="1D902021">
            <w:pPr>
              <w:pStyle w:val="Normal"/>
              <w:suppressLineNumbers w:val="0"/>
              <w:bidi w:val="0"/>
              <w:spacing w:before="0" w:beforeAutospacing="off" w:after="0" w:afterAutospacing="off" w:line="259" w:lineRule="auto"/>
              <w:ind w:left="0" w:right="0"/>
              <w:jc w:val="center"/>
            </w:pPr>
            <w:r w:rsidRPr="0D411FA1" w:rsidR="20BDDD87">
              <w:rPr>
                <w:b w:val="1"/>
                <w:bCs w:val="1"/>
                <w:color w:val="000000" w:themeColor="text1" w:themeTint="FF" w:themeShade="FF"/>
                <w:sz w:val="22"/>
                <w:szCs w:val="22"/>
              </w:rPr>
              <w:t>RS7.1</w:t>
            </w:r>
          </w:p>
        </w:tc>
        <w:tc>
          <w:tcPr>
            <w:tcW w:w="5130" w:type="dxa"/>
            <w:tcMar/>
          </w:tcPr>
          <w:p w:rsidR="20BDDD87" w:rsidP="0D411FA1" w:rsidRDefault="20BDDD87" w14:paraId="0A4A4F65" w14:textId="672A0A0F">
            <w:pPr>
              <w:pStyle w:val="Normal"/>
              <w:spacing w:after="1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0D411FA1" w:rsidR="20BDDD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Contribute</w:t>
            </w:r>
            <w:r w:rsidRPr="0D411FA1" w:rsidR="20BDDD87">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the development of community-/patient-facing educational materials that promote healthy approaches to nutrition in specific populations.</w:t>
            </w:r>
          </w:p>
          <w:p w:rsidRPr="00FD18D5" w:rsidR="005E35F4" w:rsidP="78A76A87" w:rsidRDefault="005E35F4" w14:paraId="3DCB9555" w14:textId="58D43031">
            <w:pPr>
              <w:spacing w:after="120"/>
              <w:ind/>
              <w:rPr>
                <w:sz w:val="22"/>
                <w:szCs w:val="22"/>
              </w:rPr>
            </w:pPr>
          </w:p>
        </w:tc>
        <w:tc>
          <w:tcPr>
            <w:tcW w:w="1440" w:type="dxa"/>
            <w:tcMar/>
          </w:tcPr>
          <w:p w:rsidRPr="00FD18D5" w:rsidR="005E35F4" w:rsidP="256B4309" w:rsidRDefault="005E35F4" w14:paraId="462CAEE0" w14:textId="1F6DCF62">
            <w:pPr>
              <w:pStyle w:val="Normal"/>
              <w:rPr>
                <w:rFonts w:ascii="Times New Roman" w:hAnsi="Times New Roman" w:eastAsia="Times New Roman" w:cs="Times New Roman"/>
                <w:noProof w:val="0"/>
                <w:sz w:val="22"/>
                <w:szCs w:val="22"/>
                <w:lang w:val="en-US"/>
              </w:rPr>
            </w:pPr>
            <w:r w:rsidRPr="256B4309" w:rsidR="1F53664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Irving and Alice Brown Teaching Kitchen at Yale New Haven Health</w:t>
            </w:r>
          </w:p>
        </w:tc>
        <w:tc>
          <w:tcPr>
            <w:tcW w:w="1260" w:type="dxa"/>
            <w:tcMar/>
          </w:tcPr>
          <w:p w:rsidRPr="00FD18D5" w:rsidR="005E35F4" w:rsidP="256B4309" w:rsidRDefault="005E35F4" w14:paraId="1AF6288F" w14:textId="04416F90">
            <w:pPr>
              <w:rPr>
                <w:color w:val="000000" w:themeColor="text1" w:themeTint="FF" w:themeShade="FF"/>
                <w:sz w:val="22"/>
                <w:szCs w:val="22"/>
              </w:rPr>
            </w:pPr>
            <w:r w:rsidRPr="256B4309" w:rsidR="64303F05">
              <w:rPr>
                <w:color w:val="000000" w:themeColor="text1" w:themeTint="FF" w:themeShade="FF"/>
                <w:sz w:val="22"/>
                <w:szCs w:val="22"/>
              </w:rPr>
              <w:t>Attending (YSM assistant professor),</w:t>
            </w:r>
          </w:p>
          <w:p w:rsidRPr="00FD18D5" w:rsidR="005E35F4" w:rsidP="005E35F4" w:rsidRDefault="005E35F4" w14:paraId="3B3DAEC7" w14:textId="2FA8A538">
            <w:pPr>
              <w:rPr>
                <w:color w:val="000000"/>
                <w:sz w:val="22"/>
                <w:szCs w:val="22"/>
              </w:rPr>
            </w:pPr>
            <w:r w:rsidRPr="256B4309" w:rsidR="64303F05">
              <w:rPr>
                <w:color w:val="000000" w:themeColor="text1" w:themeTint="FF" w:themeShade="FF"/>
                <w:sz w:val="22"/>
                <w:szCs w:val="22"/>
              </w:rPr>
              <w:t>Chef-RDs (YSM lecturers)</w:t>
            </w:r>
          </w:p>
        </w:tc>
        <w:tc>
          <w:tcPr>
            <w:tcW w:w="1980" w:type="dxa"/>
            <w:tcMar/>
          </w:tcPr>
          <w:p w:rsidR="0D411FA1" w:rsidP="256B4309" w:rsidRDefault="0D411FA1" w14:paraId="62DB672A" w14:textId="55B2EED0">
            <w:pPr>
              <w:rPr>
                <w:color w:val="000000" w:themeColor="text1" w:themeTint="FF" w:themeShade="FF"/>
                <w:sz w:val="22"/>
                <w:szCs w:val="22"/>
              </w:rPr>
            </w:pPr>
            <w:r w:rsidRPr="256B4309" w:rsidR="0D411FA1">
              <w:rPr>
                <w:color w:val="000000" w:themeColor="text1" w:themeTint="FF" w:themeShade="FF"/>
                <w:sz w:val="22"/>
                <w:szCs w:val="22"/>
              </w:rPr>
              <w:t xml:space="preserve">Production of educational </w:t>
            </w:r>
            <w:r w:rsidRPr="256B4309" w:rsidR="0D411FA1">
              <w:rPr>
                <w:color w:val="000000" w:themeColor="text1" w:themeTint="FF" w:themeShade="FF"/>
                <w:sz w:val="22"/>
                <w:szCs w:val="22"/>
              </w:rPr>
              <w:t>materials</w:t>
            </w:r>
          </w:p>
          <w:p w:rsidR="0D411FA1" w:rsidP="0D411FA1" w:rsidRDefault="0D411FA1" w14:paraId="639133D2" w14:textId="5F26C73B">
            <w:pPr>
              <w:rPr>
                <w:color w:val="000000" w:themeColor="text1" w:themeTint="FF" w:themeShade="FF"/>
                <w:sz w:val="22"/>
                <w:szCs w:val="22"/>
              </w:rPr>
            </w:pPr>
            <w:r w:rsidRPr="256B4309" w:rsidR="0D411FA1">
              <w:rPr>
                <w:color w:val="000000" w:themeColor="text1" w:themeTint="FF" w:themeShade="FF"/>
                <w:sz w:val="22"/>
                <w:szCs w:val="22"/>
              </w:rPr>
              <w:t>End</w:t>
            </w:r>
            <w:r w:rsidRPr="256B4309" w:rsidR="0D411FA1">
              <w:rPr>
                <w:color w:val="000000" w:themeColor="text1" w:themeTint="FF" w:themeShade="FF"/>
                <w:sz w:val="22"/>
                <w:szCs w:val="22"/>
              </w:rPr>
              <w:t xml:space="preserve"> of elective evaluation (narrative)</w:t>
            </w:r>
          </w:p>
        </w:tc>
        <w:tc>
          <w:tcPr>
            <w:tcW w:w="1800" w:type="dxa"/>
            <w:tcMar/>
          </w:tcPr>
          <w:p w:rsidR="0D411FA1" w:rsidP="0D411FA1" w:rsidRDefault="0D411FA1" w14:paraId="48134330" w14:textId="59C918C8">
            <w:pPr>
              <w:rPr>
                <w:color w:val="000000" w:themeColor="text1" w:themeTint="FF" w:themeShade="FF"/>
                <w:sz w:val="22"/>
                <w:szCs w:val="22"/>
              </w:rPr>
            </w:pPr>
            <w:r w:rsidRPr="0D411FA1" w:rsidR="0D411FA1">
              <w:rPr>
                <w:color w:val="000000" w:themeColor="text1" w:themeTint="FF" w:themeShade="FF"/>
                <w:sz w:val="22"/>
                <w:szCs w:val="22"/>
              </w:rPr>
              <w:t>Mid and end of elective in person feedback</w:t>
            </w:r>
          </w:p>
        </w:tc>
        <w:tc>
          <w:tcPr>
            <w:tcW w:w="1512" w:type="dxa"/>
            <w:tcMar/>
          </w:tcPr>
          <w:p w:rsidRPr="00FD18D5" w:rsidR="005E35F4" w:rsidP="005E35F4" w:rsidRDefault="005E35F4" w14:paraId="6D9E0E5F" w14:textId="654CBFDC">
            <w:pPr>
              <w:rPr>
                <w:color w:val="000000"/>
                <w:sz w:val="22"/>
                <w:szCs w:val="22"/>
              </w:rPr>
            </w:pPr>
            <w:r w:rsidRPr="78A76A87" w:rsidR="47776F0E">
              <w:rPr>
                <w:color w:val="000000" w:themeColor="text1" w:themeTint="FF" w:themeShade="FF"/>
                <w:sz w:val="22"/>
                <w:szCs w:val="22"/>
              </w:rPr>
              <w:t>N/A</w:t>
            </w:r>
          </w:p>
        </w:tc>
      </w:tr>
    </w:tbl>
    <w:p w:rsidR="78A76A87" w:rsidRDefault="78A76A87" w14:paraId="362EAA3D" w14:textId="03E8B53B"/>
    <w:p w:rsidRPr="00E1694A" w:rsidR="005E35F4" w:rsidP="005E35F4" w:rsidRDefault="005E35F4" w14:paraId="0F5DE5A9" w14:textId="77777777">
      <w:pPr>
        <w:rPr>
          <w:color w:val="000000"/>
          <w:sz w:val="22"/>
          <w:szCs w:val="22"/>
        </w:rPr>
      </w:pPr>
    </w:p>
    <w:p w:rsidRPr="00E1694A" w:rsidR="00BA628D" w:rsidP="005E35F4" w:rsidRDefault="00BA628D" w14:paraId="20403999" w14:textId="77777777">
      <w:pPr>
        <w:rPr>
          <w:color w:val="000000"/>
          <w:sz w:val="22"/>
          <w:szCs w:val="22"/>
        </w:rPr>
      </w:pPr>
    </w:p>
    <w:p w:rsidRPr="00E1694A" w:rsidR="00BA628D" w:rsidP="005E35F4" w:rsidRDefault="00BA628D" w14:paraId="5AEE54B5" w14:textId="77777777">
      <w:pPr>
        <w:rPr>
          <w:color w:val="000000"/>
          <w:sz w:val="22"/>
          <w:szCs w:val="22"/>
        </w:rPr>
      </w:pPr>
    </w:p>
    <w:p w:rsidRPr="00E1694A" w:rsidR="00587584" w:rsidP="00587584" w:rsidRDefault="00587584" w14:paraId="04349174" w14:textId="77777777">
      <w:pPr>
        <w:pStyle w:val="NormalWeb"/>
        <w:rPr>
          <w:sz w:val="22"/>
          <w:szCs w:val="22"/>
        </w:rPr>
        <w:sectPr w:rsidRPr="00E1694A" w:rsidR="00587584" w:rsidSect="002370EF">
          <w:headerReference w:type="default" r:id="rId11"/>
          <w:footerReference w:type="even" r:id="rId12"/>
          <w:footerReference w:type="default" r:id="rId13"/>
          <w:pgSz w:w="15840" w:h="12240" w:orient="landscape" w:code="1"/>
          <w:pgMar w:top="720" w:right="1152" w:bottom="720" w:left="1152" w:header="720" w:footer="720" w:gutter="0"/>
          <w:cols w:space="720"/>
          <w:docGrid w:linePitch="360"/>
        </w:sectPr>
      </w:pPr>
    </w:p>
    <w:p w:rsidRPr="00E1694A" w:rsidR="00587584" w:rsidP="00000C17" w:rsidRDefault="00587584" w14:paraId="6FBCBF9E" w14:textId="77777777">
      <w:pPr>
        <w:jc w:val="center"/>
        <w:rPr>
          <w:b/>
          <w:color w:val="C45911"/>
          <w:sz w:val="22"/>
          <w:szCs w:val="22"/>
          <w:u w:val="single"/>
        </w:rPr>
      </w:pPr>
      <w:r w:rsidRPr="00E1694A">
        <w:rPr>
          <w:b/>
          <w:color w:val="000000"/>
          <w:sz w:val="22"/>
          <w:szCs w:val="22"/>
          <w:u w:val="single"/>
        </w:rPr>
        <w:t>Overarching Goals</w:t>
      </w:r>
      <w:r w:rsidRPr="00E1694A" w:rsidR="00000C17">
        <w:rPr>
          <w:b/>
          <w:color w:val="000000"/>
          <w:sz w:val="22"/>
          <w:szCs w:val="22"/>
          <w:u w:val="single"/>
        </w:rPr>
        <w:t xml:space="preserve"> and </w:t>
      </w:r>
      <w:r w:rsidRPr="00E1694A">
        <w:rPr>
          <w:b/>
          <w:color w:val="000000"/>
          <w:sz w:val="22"/>
          <w:szCs w:val="22"/>
          <w:u w:val="single"/>
        </w:rPr>
        <w:t>Definitions of Elective/Subinternship</w:t>
      </w:r>
    </w:p>
    <w:p w:rsidRPr="00E1694A" w:rsidR="00000C17" w:rsidP="00000C17" w:rsidRDefault="00000C17" w14:paraId="370FFE3F" w14:textId="77777777">
      <w:pPr>
        <w:pStyle w:val="NormalWeb"/>
        <w:spacing w:before="0" w:beforeAutospacing="0" w:after="0" w:afterAutospacing="0"/>
        <w:rPr>
          <w:b/>
          <w:color w:val="C45911"/>
          <w:sz w:val="22"/>
          <w:szCs w:val="22"/>
          <w:u w:val="single"/>
        </w:rPr>
      </w:pPr>
    </w:p>
    <w:p w:rsidRPr="00083ED0" w:rsidR="00BA628D" w:rsidP="00000C17" w:rsidRDefault="00BA628D" w14:paraId="7B997573" w14:textId="77777777">
      <w:pPr>
        <w:pStyle w:val="NormalWeb"/>
        <w:spacing w:before="0" w:beforeAutospacing="0" w:after="0" w:afterAutospacing="0"/>
        <w:rPr>
          <w:b/>
          <w:color w:val="C45911"/>
          <w:sz w:val="22"/>
          <w:szCs w:val="21"/>
          <w:u w:val="single"/>
        </w:rPr>
      </w:pPr>
      <w:r w:rsidRPr="00083ED0">
        <w:rPr>
          <w:b/>
          <w:color w:val="C45911"/>
          <w:sz w:val="22"/>
          <w:szCs w:val="21"/>
          <w:u w:val="single"/>
        </w:rPr>
        <w:t>Overarching Goals</w:t>
      </w:r>
    </w:p>
    <w:p w:rsidRPr="00083ED0" w:rsidR="00000C17" w:rsidP="00000C17" w:rsidRDefault="00000C17" w14:paraId="493BB051" w14:textId="77777777">
      <w:pPr>
        <w:pStyle w:val="NormalWeb"/>
        <w:spacing w:before="0" w:beforeAutospacing="0" w:after="0" w:afterAutospacing="0"/>
        <w:rPr>
          <w:b/>
          <w:color w:val="C45911"/>
          <w:sz w:val="10"/>
          <w:szCs w:val="10"/>
          <w:u w:val="single"/>
        </w:rPr>
      </w:pPr>
    </w:p>
    <w:p w:rsidR="00083ED0" w:rsidP="00083ED0" w:rsidRDefault="00041CC3" w14:paraId="11E7F0DD" w14:textId="6AD9C5FE">
      <w:r w:rsidRPr="00041CC3">
        <w:rPr>
          <w:i/>
          <w:sz w:val="21"/>
          <w:szCs w:val="21"/>
        </w:rPr>
        <w:t xml:space="preserve">See </w:t>
      </w:r>
      <w:r w:rsidRPr="00041CC3" w:rsidR="00000C17">
        <w:rPr>
          <w:i/>
          <w:sz w:val="21"/>
          <w:szCs w:val="21"/>
        </w:rPr>
        <w:t>Web</w:t>
      </w:r>
      <w:r w:rsidRPr="00041CC3">
        <w:rPr>
          <w:i/>
          <w:sz w:val="21"/>
          <w:szCs w:val="21"/>
        </w:rPr>
        <w:t>page</w:t>
      </w:r>
      <w:r w:rsidRPr="00041CC3" w:rsidR="00000C17">
        <w:rPr>
          <w:i/>
          <w:sz w:val="21"/>
          <w:szCs w:val="21"/>
        </w:rPr>
        <w:t xml:space="preserve">: </w:t>
      </w:r>
      <w:hyperlink w:history="1" r:id="rId14">
        <w:r w:rsidRPr="00402A54" w:rsidR="007120C0">
          <w:rPr>
            <w:rStyle w:val="Hyperlink"/>
          </w:rPr>
          <w:t>https://medicine.yale.edu/md-program/curriculum/competencies-requirements/competencies/</w:t>
        </w:r>
      </w:hyperlink>
    </w:p>
    <w:p w:rsidRPr="00041CC3" w:rsidR="007120C0" w:rsidP="00083ED0" w:rsidRDefault="007120C0" w14:paraId="33E2FC34" w14:textId="77777777">
      <w:pPr>
        <w:rPr>
          <w:i/>
          <w:sz w:val="21"/>
          <w:szCs w:val="21"/>
        </w:rPr>
      </w:pPr>
    </w:p>
    <w:p w:rsidRPr="00083ED0" w:rsidR="00083ED0" w:rsidP="00083ED0" w:rsidRDefault="00083ED0" w14:paraId="0A10152C" w14:textId="77777777">
      <w:pPr>
        <w:pStyle w:val="NormalWeb"/>
        <w:spacing w:before="0" w:beforeAutospacing="0" w:after="0" w:afterAutospacing="0"/>
        <w:rPr>
          <w:sz w:val="10"/>
          <w:szCs w:val="10"/>
        </w:rPr>
      </w:pPr>
    </w:p>
    <w:p w:rsidRPr="00083ED0" w:rsidR="00083ED0" w:rsidP="00083ED0" w:rsidRDefault="00083ED0" w14:paraId="2608E605" w14:textId="77777777">
      <w:pPr>
        <w:pBdr>
          <w:bottom w:val="single" w:color="auto" w:sz="12" w:space="1"/>
        </w:pBdr>
        <w:rPr>
          <w:sz w:val="21"/>
          <w:szCs w:val="21"/>
        </w:rPr>
      </w:pPr>
      <w:r w:rsidRPr="00083ED0">
        <w:rPr>
          <w:sz w:val="21"/>
          <w:szCs w:val="21"/>
        </w:rPr>
        <w:t>The Overarching Goals of the curriculum serve as the foundation for our curriculum and define its content. Emphasis is placed on goals that meet the growing needs of a changing society and medical practice. A strong foundation in science provides special opportunities for students to participate in creative endeavors</w:t>
      </w:r>
    </w:p>
    <w:p w:rsidRPr="00083ED0" w:rsidR="00083ED0" w:rsidP="00083ED0" w:rsidRDefault="00083ED0" w14:paraId="3E6D07A9" w14:textId="77777777">
      <w:pPr>
        <w:pBdr>
          <w:bottom w:val="single" w:color="auto" w:sz="12" w:space="1"/>
        </w:pBdr>
        <w:rPr>
          <w:sz w:val="21"/>
          <w:szCs w:val="21"/>
        </w:rPr>
      </w:pPr>
      <w:r w:rsidRPr="00083ED0">
        <w:rPr>
          <w:sz w:val="21"/>
          <w:szCs w:val="21"/>
        </w:rPr>
        <w:t>that foster the life-long pursuit of scholarship.</w:t>
      </w:r>
    </w:p>
    <w:p w:rsidRPr="00083ED0" w:rsidR="00083ED0" w:rsidP="00083ED0" w:rsidRDefault="00083ED0" w14:paraId="77CBC0EC" w14:textId="77777777">
      <w:pPr>
        <w:pBdr>
          <w:bottom w:val="single" w:color="auto" w:sz="12" w:space="1"/>
        </w:pBdr>
        <w:rPr>
          <w:sz w:val="21"/>
          <w:szCs w:val="21"/>
        </w:rPr>
      </w:pPr>
    </w:p>
    <w:p w:rsidRPr="00083ED0" w:rsidR="00083ED0" w:rsidP="00083ED0" w:rsidRDefault="00083ED0" w14:paraId="5EB51877" w14:textId="77777777">
      <w:pPr>
        <w:pBdr>
          <w:bottom w:val="single" w:color="auto" w:sz="12" w:space="1"/>
        </w:pBdr>
        <w:rPr>
          <w:sz w:val="21"/>
          <w:szCs w:val="21"/>
        </w:rPr>
      </w:pPr>
      <w:r w:rsidRPr="00083ED0">
        <w:rPr>
          <w:sz w:val="21"/>
          <w:szCs w:val="21"/>
        </w:rPr>
        <w:t xml:space="preserve">1. Health Promotion and Disease Prevention: Students apply scientific knowledge and use clinical skills to promote health and prevent disease in individuals and communities. </w:t>
      </w:r>
    </w:p>
    <w:p w:rsidRPr="00083ED0" w:rsidR="00083ED0" w:rsidP="00083ED0" w:rsidRDefault="00083ED0" w14:paraId="64787B73" w14:textId="77777777">
      <w:pPr>
        <w:pBdr>
          <w:bottom w:val="single" w:color="auto" w:sz="12" w:space="1"/>
        </w:pBdr>
        <w:rPr>
          <w:sz w:val="10"/>
          <w:szCs w:val="10"/>
        </w:rPr>
      </w:pPr>
    </w:p>
    <w:p w:rsidRPr="00083ED0" w:rsidR="00083ED0" w:rsidP="00083ED0" w:rsidRDefault="00083ED0" w14:paraId="7D24CC08" w14:textId="77777777">
      <w:pPr>
        <w:pBdr>
          <w:bottom w:val="single" w:color="auto" w:sz="12" w:space="1"/>
        </w:pBdr>
        <w:rPr>
          <w:sz w:val="21"/>
          <w:szCs w:val="21"/>
        </w:rPr>
      </w:pPr>
      <w:r w:rsidRPr="00083ED0">
        <w:rPr>
          <w:sz w:val="21"/>
          <w:szCs w:val="21"/>
        </w:rPr>
        <w:t>2. Mechanisms and Treatment of Disease: Students acquire knowledge at the molecular, cellular, organ-system, whole body, and societal levels, and integrate this knowledge with clinical science and skills to diagnose and treat disease.</w:t>
      </w:r>
    </w:p>
    <w:p w:rsidRPr="00083ED0" w:rsidR="00083ED0" w:rsidP="00083ED0" w:rsidRDefault="00083ED0" w14:paraId="07B44645" w14:textId="77777777">
      <w:pPr>
        <w:pBdr>
          <w:bottom w:val="single" w:color="auto" w:sz="12" w:space="1"/>
        </w:pBdr>
        <w:rPr>
          <w:sz w:val="10"/>
          <w:szCs w:val="10"/>
        </w:rPr>
      </w:pPr>
    </w:p>
    <w:p w:rsidRPr="00083ED0" w:rsidR="00083ED0" w:rsidP="00083ED0" w:rsidRDefault="00083ED0" w14:paraId="29F8862E" w14:textId="77777777">
      <w:pPr>
        <w:pBdr>
          <w:bottom w:val="single" w:color="auto" w:sz="12" w:space="1"/>
        </w:pBdr>
        <w:rPr>
          <w:sz w:val="21"/>
          <w:szCs w:val="21"/>
        </w:rPr>
      </w:pPr>
      <w:r w:rsidRPr="00083ED0">
        <w:rPr>
          <w:sz w:val="21"/>
          <w:szCs w:val="21"/>
        </w:rPr>
        <w:t>3. Clinical Reasoning: Students exercise clinical judgment based on a thorough understanding of the patient, application of sound scientific principles, and knowledge of the health care systems. Clinical reasoning is learned through practice, self-reflection, and feedback</w:t>
      </w:r>
    </w:p>
    <w:p w:rsidRPr="00083ED0" w:rsidR="00083ED0" w:rsidP="00083ED0" w:rsidRDefault="00083ED0" w14:paraId="3E4066A2" w14:textId="77777777">
      <w:pPr>
        <w:pBdr>
          <w:bottom w:val="single" w:color="auto" w:sz="12" w:space="1"/>
        </w:pBdr>
        <w:rPr>
          <w:sz w:val="10"/>
          <w:szCs w:val="10"/>
        </w:rPr>
      </w:pPr>
    </w:p>
    <w:p w:rsidRPr="00083ED0" w:rsidR="00083ED0" w:rsidP="00083ED0" w:rsidRDefault="00083ED0" w14:paraId="47AE191C" w14:textId="77777777">
      <w:pPr>
        <w:pBdr>
          <w:bottom w:val="single" w:color="auto" w:sz="12" w:space="1"/>
        </w:pBdr>
        <w:rPr>
          <w:sz w:val="21"/>
          <w:szCs w:val="21"/>
        </w:rPr>
      </w:pPr>
      <w:r w:rsidRPr="00083ED0">
        <w:rPr>
          <w:sz w:val="21"/>
          <w:szCs w:val="21"/>
        </w:rPr>
        <w:t>4. Patient Care: Students achieve competency in the care of patients at a level required to excel in residency.</w:t>
      </w:r>
    </w:p>
    <w:p w:rsidRPr="00083ED0" w:rsidR="00083ED0" w:rsidP="00083ED0" w:rsidRDefault="00083ED0" w14:paraId="7D063337" w14:textId="77777777">
      <w:pPr>
        <w:pBdr>
          <w:bottom w:val="single" w:color="auto" w:sz="12" w:space="1"/>
        </w:pBdr>
        <w:rPr>
          <w:sz w:val="10"/>
          <w:szCs w:val="10"/>
        </w:rPr>
      </w:pPr>
    </w:p>
    <w:p w:rsidRPr="00083ED0" w:rsidR="00083ED0" w:rsidP="00083ED0" w:rsidRDefault="00083ED0" w14:paraId="71E7C255" w14:textId="77777777">
      <w:pPr>
        <w:pBdr>
          <w:bottom w:val="single" w:color="auto" w:sz="12" w:space="1"/>
        </w:pBdr>
        <w:rPr>
          <w:sz w:val="21"/>
          <w:szCs w:val="21"/>
        </w:rPr>
      </w:pPr>
      <w:r w:rsidRPr="00083ED0">
        <w:rPr>
          <w:sz w:val="21"/>
          <w:szCs w:val="21"/>
        </w:rPr>
        <w:t xml:space="preserve">5. Professionalism and Communication: Students demonstrate respectful and ethical behavior in </w:t>
      </w:r>
      <w:proofErr w:type="gramStart"/>
      <w:r w:rsidRPr="00083ED0">
        <w:rPr>
          <w:sz w:val="21"/>
          <w:szCs w:val="21"/>
        </w:rPr>
        <w:t>all of</w:t>
      </w:r>
      <w:proofErr w:type="gramEnd"/>
      <w:r w:rsidRPr="00083ED0">
        <w:rPr>
          <w:sz w:val="21"/>
          <w:szCs w:val="21"/>
        </w:rPr>
        <w:t xml:space="preserve"> their professional interactions and provide compassionate, empathic care to patients and families. Professionalism and communication skills are acquired through practice, self-reflection, and feedback.</w:t>
      </w:r>
    </w:p>
    <w:p w:rsidRPr="00083ED0" w:rsidR="00083ED0" w:rsidP="00083ED0" w:rsidRDefault="00083ED0" w14:paraId="631732BC" w14:textId="77777777">
      <w:pPr>
        <w:pBdr>
          <w:bottom w:val="single" w:color="auto" w:sz="12" w:space="1"/>
        </w:pBdr>
        <w:rPr>
          <w:sz w:val="10"/>
          <w:szCs w:val="10"/>
        </w:rPr>
      </w:pPr>
    </w:p>
    <w:p w:rsidRPr="00083ED0" w:rsidR="00083ED0" w:rsidP="00083ED0" w:rsidRDefault="00083ED0" w14:paraId="0C0239E1" w14:textId="77777777">
      <w:pPr>
        <w:pBdr>
          <w:bottom w:val="single" w:color="auto" w:sz="12" w:space="1"/>
        </w:pBdr>
        <w:rPr>
          <w:sz w:val="21"/>
          <w:szCs w:val="21"/>
        </w:rPr>
      </w:pPr>
      <w:r w:rsidRPr="00083ED0">
        <w:rPr>
          <w:sz w:val="21"/>
          <w:szCs w:val="21"/>
        </w:rPr>
        <w:t>6. Responsibility to Society: Students learn to practice medicine with cultural competence and fiscal responsibility in preparation for work in a society characterized by diverse populations and economic constraints.</w:t>
      </w:r>
    </w:p>
    <w:p w:rsidRPr="00083ED0" w:rsidR="00083ED0" w:rsidP="00083ED0" w:rsidRDefault="00083ED0" w14:paraId="4C732F93" w14:textId="77777777">
      <w:pPr>
        <w:pBdr>
          <w:bottom w:val="single" w:color="auto" w:sz="12" w:space="1"/>
        </w:pBdr>
        <w:rPr>
          <w:sz w:val="10"/>
          <w:szCs w:val="10"/>
        </w:rPr>
      </w:pPr>
    </w:p>
    <w:p w:rsidRPr="00083ED0" w:rsidR="00083ED0" w:rsidP="00083ED0" w:rsidRDefault="00083ED0" w14:paraId="79F4F523" w14:textId="77777777">
      <w:pPr>
        <w:pBdr>
          <w:bottom w:val="single" w:color="auto" w:sz="12" w:space="1"/>
        </w:pBdr>
        <w:rPr>
          <w:sz w:val="21"/>
          <w:szCs w:val="21"/>
        </w:rPr>
      </w:pPr>
      <w:r w:rsidRPr="00083ED0">
        <w:rPr>
          <w:sz w:val="21"/>
          <w:szCs w:val="21"/>
        </w:rPr>
        <w:t>7. Creation and Dissemination of Knowledge: Students manifest independent and creative thinking fostered by a collaborative graduate school environment. They perform mentored scholarly research culminating in a formal written thesis to promote critical thinking, understand the scientific method, and contribute to medical knowledge.</w:t>
      </w:r>
    </w:p>
    <w:p w:rsidRPr="00083ED0" w:rsidR="00083ED0" w:rsidP="00083ED0" w:rsidRDefault="00083ED0" w14:paraId="456D3EA5" w14:textId="77777777">
      <w:pPr>
        <w:pBdr>
          <w:bottom w:val="single" w:color="auto" w:sz="12" w:space="1"/>
        </w:pBdr>
        <w:rPr>
          <w:sz w:val="10"/>
          <w:szCs w:val="10"/>
        </w:rPr>
      </w:pPr>
    </w:p>
    <w:p w:rsidRPr="00083ED0" w:rsidR="00083ED0" w:rsidP="00083ED0" w:rsidRDefault="00083ED0" w14:paraId="0B090E65" w14:textId="77777777">
      <w:pPr>
        <w:pBdr>
          <w:bottom w:val="single" w:color="auto" w:sz="12" w:space="1"/>
        </w:pBdr>
        <w:rPr>
          <w:sz w:val="21"/>
          <w:szCs w:val="21"/>
        </w:rPr>
      </w:pPr>
      <w:r w:rsidRPr="00083ED0">
        <w:rPr>
          <w:sz w:val="21"/>
          <w:szCs w:val="21"/>
        </w:rPr>
        <w:t>8. Physician as Scientist: Students learn to approach medicine from a scientifically minded perspective and are educated and mentored by leading scientists. This prepares them for careers in biomedical science and as medical practitioners, and to become the next generation of medical scientists and leaders in academic medicine.</w:t>
      </w:r>
    </w:p>
    <w:p w:rsidRPr="00083ED0" w:rsidR="00083ED0" w:rsidP="00083ED0" w:rsidRDefault="00083ED0" w14:paraId="7579F2FC" w14:textId="77777777">
      <w:pPr>
        <w:pBdr>
          <w:bottom w:val="single" w:color="auto" w:sz="12" w:space="1"/>
        </w:pBdr>
        <w:rPr>
          <w:sz w:val="10"/>
          <w:szCs w:val="10"/>
        </w:rPr>
      </w:pPr>
    </w:p>
    <w:p w:rsidRPr="00083ED0" w:rsidR="00083ED0" w:rsidP="00083ED0" w:rsidRDefault="00083ED0" w14:paraId="626B9386" w14:textId="77777777">
      <w:pPr>
        <w:pBdr>
          <w:bottom w:val="single" w:color="auto" w:sz="12" w:space="1"/>
        </w:pBdr>
        <w:rPr>
          <w:sz w:val="21"/>
          <w:szCs w:val="21"/>
        </w:rPr>
      </w:pPr>
      <w:r w:rsidRPr="00083ED0">
        <w:rPr>
          <w:sz w:val="21"/>
          <w:szCs w:val="21"/>
        </w:rPr>
        <w:t>Each goal has been thoroughly reviewed by a task force comprised of content experts, interested parties, and students. These task forces made recommendations for content and pedagogy across the four years that are being used to guide the curriculum rebuild process.</w:t>
      </w:r>
    </w:p>
    <w:p w:rsidRPr="00083ED0" w:rsidR="00083ED0" w:rsidP="00083ED0" w:rsidRDefault="00083ED0" w14:paraId="54075DC3" w14:textId="77777777">
      <w:pPr>
        <w:pBdr>
          <w:bottom w:val="single" w:color="auto" w:sz="12" w:space="1"/>
        </w:pBdr>
        <w:rPr>
          <w:sz w:val="21"/>
          <w:szCs w:val="21"/>
        </w:rPr>
      </w:pPr>
    </w:p>
    <w:p w:rsidRPr="00083ED0" w:rsidR="00587584" w:rsidP="00083ED0" w:rsidRDefault="00587584" w14:paraId="39A4D2C3" w14:textId="77777777">
      <w:pPr>
        <w:pStyle w:val="NormalWeb"/>
        <w:spacing w:before="0" w:beforeAutospacing="0" w:after="0" w:afterAutospacing="0"/>
        <w:rPr>
          <w:b/>
          <w:color w:val="000000"/>
          <w:sz w:val="21"/>
          <w:szCs w:val="21"/>
          <w:u w:val="single"/>
        </w:rPr>
      </w:pPr>
    </w:p>
    <w:p w:rsidRPr="00083ED0" w:rsidR="00587584" w:rsidP="00000C17" w:rsidRDefault="00587584" w14:paraId="03366347" w14:textId="77777777">
      <w:pPr>
        <w:rPr>
          <w:b/>
          <w:color w:val="C45911"/>
          <w:sz w:val="22"/>
          <w:szCs w:val="21"/>
          <w:u w:val="single"/>
        </w:rPr>
      </w:pPr>
      <w:r w:rsidRPr="00083ED0">
        <w:rPr>
          <w:b/>
          <w:color w:val="C45911"/>
          <w:sz w:val="22"/>
          <w:szCs w:val="21"/>
          <w:u w:val="single"/>
        </w:rPr>
        <w:t>Subinternship and Clinical Elective Definitions</w:t>
      </w:r>
    </w:p>
    <w:p w:rsidRPr="00083ED0" w:rsidR="00587584" w:rsidP="00000C17" w:rsidRDefault="00587584" w14:paraId="588B4580" w14:textId="77777777">
      <w:pPr>
        <w:ind w:left="720"/>
        <w:rPr>
          <w:color w:val="000000"/>
          <w:sz w:val="10"/>
          <w:szCs w:val="10"/>
        </w:rPr>
      </w:pPr>
    </w:p>
    <w:p w:rsidRPr="00083ED0" w:rsidR="00587584" w:rsidP="00000C17" w:rsidRDefault="00587584" w14:paraId="71F62DDE" w14:textId="77777777">
      <w:pPr>
        <w:rPr>
          <w:color w:val="000000"/>
          <w:sz w:val="21"/>
          <w:szCs w:val="21"/>
        </w:rPr>
      </w:pPr>
      <w:r w:rsidRPr="00083ED0">
        <w:rPr>
          <w:color w:val="000000"/>
          <w:sz w:val="21"/>
          <w:szCs w:val="21"/>
        </w:rPr>
        <w:t xml:space="preserve">A </w:t>
      </w:r>
      <w:r w:rsidRPr="00083ED0">
        <w:rPr>
          <w:b/>
          <w:color w:val="000000"/>
          <w:sz w:val="21"/>
          <w:szCs w:val="21"/>
          <w:u w:val="single"/>
        </w:rPr>
        <w:t>Subinternship</w:t>
      </w:r>
      <w:r w:rsidRPr="00083ED0">
        <w:rPr>
          <w:color w:val="000000"/>
          <w:sz w:val="21"/>
          <w:szCs w:val="21"/>
        </w:rPr>
        <w:t xml:space="preserve"> is an opportunity for a medical student to engage in a clinical rotation meeting the following criteria:</w:t>
      </w:r>
    </w:p>
    <w:p w:rsidRPr="00083ED0" w:rsidR="00587584" w:rsidP="00000C17" w:rsidRDefault="00587584" w14:paraId="0C4AA3D9" w14:textId="77777777">
      <w:pPr>
        <w:ind w:left="720"/>
        <w:rPr>
          <w:color w:val="000000"/>
          <w:sz w:val="21"/>
          <w:szCs w:val="21"/>
        </w:rPr>
      </w:pPr>
      <w:r w:rsidRPr="00083ED0">
        <w:rPr>
          <w:color w:val="000000"/>
          <w:sz w:val="21"/>
          <w:szCs w:val="21"/>
        </w:rPr>
        <w:t>1) With appropriate supervision, assume patient care responsibility at the highest appropriate level possible within the specialty area, interfacing with the patient, the medical team, the nursing staff, and any other services.</w:t>
      </w:r>
    </w:p>
    <w:p w:rsidRPr="00083ED0" w:rsidR="00587584" w:rsidP="00000C17" w:rsidRDefault="00587584" w14:paraId="267C7B99" w14:textId="77777777">
      <w:pPr>
        <w:ind w:left="720"/>
        <w:rPr>
          <w:color w:val="000000"/>
          <w:sz w:val="21"/>
          <w:szCs w:val="21"/>
        </w:rPr>
      </w:pPr>
      <w:r w:rsidRPr="00083ED0">
        <w:rPr>
          <w:color w:val="000000"/>
          <w:sz w:val="21"/>
          <w:szCs w:val="21"/>
        </w:rPr>
        <w:t>2) Total immersion in day to day activities, tasks, and responsibilities of patient care.</w:t>
      </w:r>
    </w:p>
    <w:p w:rsidRPr="00083ED0" w:rsidR="00587584" w:rsidP="00000C17" w:rsidRDefault="00587584" w14:paraId="109E662A" w14:textId="77777777">
      <w:pPr>
        <w:ind w:left="720"/>
        <w:rPr>
          <w:color w:val="000000"/>
          <w:sz w:val="21"/>
          <w:szCs w:val="21"/>
        </w:rPr>
      </w:pPr>
      <w:r w:rsidRPr="00083ED0">
        <w:rPr>
          <w:color w:val="000000"/>
          <w:sz w:val="21"/>
          <w:szCs w:val="21"/>
        </w:rPr>
        <w:t xml:space="preserve">3) A broadened patient case-mix and patient load with case assignment and schedule similar to 1st year resident. </w:t>
      </w:r>
    </w:p>
    <w:p w:rsidRPr="00083ED0" w:rsidR="00587584" w:rsidP="00000C17" w:rsidRDefault="00587584" w14:paraId="27C21AF9" w14:textId="77777777">
      <w:pPr>
        <w:ind w:left="720"/>
        <w:rPr>
          <w:color w:val="000000"/>
          <w:sz w:val="21"/>
          <w:szCs w:val="21"/>
        </w:rPr>
      </w:pPr>
      <w:r w:rsidRPr="00083ED0">
        <w:rPr>
          <w:color w:val="000000"/>
          <w:sz w:val="21"/>
          <w:szCs w:val="21"/>
        </w:rPr>
        <w:t>4) An opportunity to solidify advanced clinical knowledge, skills and professionalism. </w:t>
      </w:r>
    </w:p>
    <w:p w:rsidRPr="00083ED0" w:rsidR="00587584" w:rsidP="00000C17" w:rsidRDefault="00587584" w14:paraId="5C918165" w14:textId="77777777">
      <w:pPr>
        <w:ind w:left="720"/>
        <w:rPr>
          <w:color w:val="000000"/>
          <w:sz w:val="21"/>
          <w:szCs w:val="21"/>
        </w:rPr>
      </w:pPr>
      <w:r w:rsidRPr="00083ED0">
        <w:rPr>
          <w:color w:val="000000"/>
          <w:sz w:val="21"/>
          <w:szCs w:val="21"/>
        </w:rPr>
        <w:t xml:space="preserve">5) A level of independence appropriate to a 4th year medical student. </w:t>
      </w:r>
    </w:p>
    <w:p w:rsidRPr="00083ED0" w:rsidR="00587584" w:rsidP="00000C17" w:rsidRDefault="00587584" w14:paraId="551DEFB5" w14:textId="77777777">
      <w:pPr>
        <w:ind w:left="720"/>
        <w:rPr>
          <w:color w:val="000000"/>
          <w:sz w:val="10"/>
          <w:szCs w:val="10"/>
        </w:rPr>
      </w:pPr>
    </w:p>
    <w:p w:rsidRPr="00083ED0" w:rsidR="00587584" w:rsidP="00000C17" w:rsidRDefault="00587584" w14:paraId="7881E1CB" w14:textId="77777777">
      <w:pPr>
        <w:rPr>
          <w:color w:val="000000"/>
          <w:sz w:val="21"/>
          <w:szCs w:val="21"/>
        </w:rPr>
      </w:pPr>
      <w:r w:rsidRPr="00083ED0">
        <w:rPr>
          <w:color w:val="000000"/>
          <w:sz w:val="21"/>
          <w:szCs w:val="21"/>
        </w:rPr>
        <w:t xml:space="preserve">A </w:t>
      </w:r>
      <w:r w:rsidRPr="00083ED0">
        <w:rPr>
          <w:b/>
          <w:color w:val="000000"/>
          <w:sz w:val="21"/>
          <w:szCs w:val="21"/>
          <w:u w:val="single"/>
        </w:rPr>
        <w:t>Clinical Elective</w:t>
      </w:r>
      <w:r w:rsidRPr="00083ED0">
        <w:rPr>
          <w:color w:val="000000"/>
          <w:sz w:val="21"/>
          <w:szCs w:val="21"/>
        </w:rPr>
        <w:t xml:space="preserve"> is an opportunity for a medical student to engage in a clinical rotation with the following characteristics:</w:t>
      </w:r>
    </w:p>
    <w:p w:rsidRPr="00083ED0" w:rsidR="00587584" w:rsidP="00DE4F37" w:rsidRDefault="00587584" w14:paraId="29C0304B" w14:textId="77777777">
      <w:pPr>
        <w:ind w:left="720"/>
        <w:rPr>
          <w:color w:val="000000"/>
          <w:sz w:val="21"/>
          <w:szCs w:val="21"/>
        </w:rPr>
      </w:pPr>
      <w:r w:rsidRPr="00083ED0">
        <w:rPr>
          <w:color w:val="000000"/>
          <w:sz w:val="21"/>
          <w:szCs w:val="21"/>
        </w:rPr>
        <w:t>1) With appropriate supervision, participate in the care of patients as an adjunct to a primary clinician (usually a fellow or resident) on a service.  The student may interface with the patient, medical team, nursing staff, and other services.</w:t>
      </w:r>
    </w:p>
    <w:p w:rsidRPr="00083ED0" w:rsidR="00587584" w:rsidP="00DE4F37" w:rsidRDefault="00587584" w14:paraId="4D09775A" w14:textId="77777777">
      <w:pPr>
        <w:ind w:left="720"/>
        <w:rPr>
          <w:color w:val="000000"/>
          <w:sz w:val="21"/>
          <w:szCs w:val="21"/>
        </w:rPr>
      </w:pPr>
      <w:r w:rsidRPr="00083ED0">
        <w:rPr>
          <w:color w:val="000000"/>
          <w:sz w:val="21"/>
          <w:szCs w:val="21"/>
        </w:rPr>
        <w:t>2) Exposure to and participation in day to day activities, tasks, and responsibilities of patient care on the service.</w:t>
      </w:r>
    </w:p>
    <w:p w:rsidRPr="00083ED0" w:rsidR="00587584" w:rsidP="00DE4F37" w:rsidRDefault="00587584" w14:paraId="7F3483D2" w14:textId="77777777">
      <w:pPr>
        <w:ind w:left="720"/>
        <w:rPr>
          <w:color w:val="000000"/>
          <w:sz w:val="21"/>
          <w:szCs w:val="21"/>
        </w:rPr>
      </w:pPr>
      <w:r w:rsidRPr="00083ED0">
        <w:rPr>
          <w:color w:val="000000"/>
          <w:sz w:val="21"/>
          <w:szCs w:val="21"/>
        </w:rPr>
        <w:t>3) A patient case-mix chosen for interesting learning opportunities.</w:t>
      </w:r>
    </w:p>
    <w:p w:rsidRPr="00083ED0" w:rsidR="00587584" w:rsidP="00DE4F37" w:rsidRDefault="00587584" w14:paraId="1CB1FE1C" w14:textId="77777777">
      <w:pPr>
        <w:ind w:left="720"/>
        <w:rPr>
          <w:color w:val="000000"/>
          <w:sz w:val="21"/>
          <w:szCs w:val="21"/>
        </w:rPr>
      </w:pPr>
      <w:r w:rsidRPr="00083ED0">
        <w:rPr>
          <w:color w:val="000000"/>
          <w:sz w:val="21"/>
          <w:szCs w:val="21"/>
        </w:rPr>
        <w:t>4) An opportunity for exposure to sub-specialty areas of medicine which will enhance student's knowledge base and experience. </w:t>
      </w:r>
    </w:p>
    <w:p w:rsidRPr="00083ED0" w:rsidR="00BA628D" w:rsidP="00DE4F37" w:rsidRDefault="00587584" w14:paraId="736E4485" w14:textId="77777777">
      <w:pPr>
        <w:ind w:left="720"/>
        <w:rPr>
          <w:color w:val="000000"/>
          <w:sz w:val="21"/>
          <w:szCs w:val="21"/>
        </w:rPr>
      </w:pPr>
      <w:r w:rsidRPr="00083ED0">
        <w:rPr>
          <w:color w:val="000000"/>
          <w:sz w:val="21"/>
          <w:szCs w:val="21"/>
        </w:rPr>
        <w:t xml:space="preserve">5) A level of independence appropriate to a 4th year medical student. </w:t>
      </w:r>
    </w:p>
    <w:sectPr w:rsidRPr="00083ED0" w:rsidR="00BA628D" w:rsidSect="00000C17">
      <w:pgSz w:w="12240" w:h="15840" w:orient="portrait" w:code="1"/>
      <w:pgMar w:top="1152" w:right="720" w:bottom="1152" w:left="720" w:header="432" w:footer="432"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8544A75"/>
  <w15:commentEx w15:done="0" w15:paraId="5002A64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D1ED58" w16cex:dateUtc="2025-10-03T18:22:48.687Z"/>
  <w16cex:commentExtensible w16cex:durableId="3A769D50" w16cex:dateUtc="2025-10-03T18:26:22.018Z"/>
</w16cex:commentsExtensible>
</file>

<file path=word/commentsIds.xml><?xml version="1.0" encoding="utf-8"?>
<w16cid:commentsIds xmlns:mc="http://schemas.openxmlformats.org/markup-compatibility/2006" xmlns:w16cid="http://schemas.microsoft.com/office/word/2016/wordml/cid" mc:Ignorable="w16cid">
  <w16cid:commentId w16cid:paraId="28544A75" w16cid:durableId="62D1ED58"/>
  <w16cid:commentId w16cid:paraId="5002A64F" w16cid:durableId="3A769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5B" w:rsidRDefault="00D96A5B" w14:paraId="226CD634" w14:textId="77777777">
      <w:r>
        <w:separator/>
      </w:r>
    </w:p>
  </w:endnote>
  <w:endnote w:type="continuationSeparator" w:id="0">
    <w:p w:rsidR="00D96A5B" w:rsidRDefault="00D96A5B" w14:paraId="0CB1DA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5F4" w:rsidP="005E35F4" w:rsidRDefault="005E35F4" w14:paraId="4E70C93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35F4" w:rsidRDefault="005E35F4" w14:paraId="57E468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5F4" w:rsidP="00000C17" w:rsidRDefault="005E35F4" w14:paraId="15120EC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5B" w:rsidRDefault="00D96A5B" w14:paraId="7DFCA288" w14:textId="77777777">
      <w:r>
        <w:separator/>
      </w:r>
    </w:p>
  </w:footnote>
  <w:footnote w:type="continuationSeparator" w:id="0">
    <w:p w:rsidR="00D96A5B" w:rsidRDefault="00D96A5B" w14:paraId="3854B9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5CA" w:rsidP="23A2A716" w:rsidRDefault="00587584" w14:paraId="1EA2BC6A" w14:textId="4A27AC50">
    <w:pPr>
      <w:jc w:val="center"/>
      <w:rPr>
        <w:b w:val="1"/>
        <w:bCs w:val="1"/>
        <w:color w:val="000000"/>
        <w:sz w:val="28"/>
        <w:szCs w:val="28"/>
      </w:rPr>
    </w:pPr>
    <w:r w:rsidRPr="23A2A716" w:rsidR="23A2A716">
      <w:rPr>
        <w:b w:val="1"/>
        <w:bCs w:val="1"/>
        <w:color w:val="000000" w:themeColor="text1" w:themeTint="FF" w:themeShade="FF"/>
        <w:sz w:val="28"/>
        <w:szCs w:val="28"/>
      </w:rPr>
      <w:t xml:space="preserve">LEARNING OBJECTIVES: </w:t>
    </w:r>
    <w:r w:rsidRPr="23A2A716" w:rsidR="23A2A716">
      <w:rPr>
        <w:b w:val="1"/>
        <w:bCs w:val="1"/>
        <w:color w:val="000000" w:themeColor="text1" w:themeTint="FF" w:themeShade="FF"/>
        <w:sz w:val="28"/>
        <w:szCs w:val="28"/>
        <w:u w:val="single"/>
      </w:rPr>
      <w:t>Culinary Medicine</w:t>
    </w:r>
    <w:r w:rsidRPr="23A2A716" w:rsidR="23A2A716">
      <w:rPr>
        <w:b w:val="1"/>
        <w:bCs w:val="1"/>
        <w:color w:val="000000" w:themeColor="text1" w:themeTint="FF" w:themeShade="FF"/>
        <w:sz w:val="28"/>
        <w:szCs w:val="28"/>
      </w:rPr>
      <w:t xml:space="preserve"> </w:t>
    </w:r>
    <w:r w:rsidRPr="23A2A716" w:rsidR="23A2A716">
      <w:rPr>
        <w:b w:val="1"/>
        <w:bCs w:val="1"/>
        <w:color w:val="000000" w:themeColor="text1" w:themeTint="FF" w:themeShade="FF"/>
        <w:sz w:val="28"/>
        <w:szCs w:val="28"/>
      </w:rPr>
      <w:t>E</w:t>
    </w:r>
    <w:r w:rsidRPr="23A2A716" w:rsidR="23A2A716">
      <w:rPr>
        <w:b w:val="1"/>
        <w:bCs w:val="1"/>
        <w:color w:val="000000" w:themeColor="text1" w:themeTint="FF" w:themeShade="FF"/>
        <w:sz w:val="28"/>
        <w:szCs w:val="28"/>
      </w:rPr>
      <w:t>LECTIVE/SUBINTERNSHIP</w:t>
    </w:r>
    <w:r w:rsidRPr="23A2A716" w:rsidR="23A2A716">
      <w:rPr>
        <w:b w:val="1"/>
        <w:bCs w:val="1"/>
        <w:color w:val="000000" w:themeColor="text1" w:themeTint="FF" w:themeShade="FF"/>
        <w:sz w:val="28"/>
        <w:szCs w:val="28"/>
      </w:rPr>
      <w:t xml:space="preserve"> </w:t>
    </w:r>
  </w:p>
  <w:p w:rsidRPr="001C15CA" w:rsidR="00587584" w:rsidP="00587584" w:rsidRDefault="001C15CA" w14:paraId="6422FD8E" w14:textId="77777777">
    <w:pPr>
      <w:jc w:val="center"/>
      <w:rPr>
        <w:b/>
        <w:color w:val="C00000"/>
        <w:sz w:val="28"/>
        <w:szCs w:val="28"/>
      </w:rPr>
    </w:pPr>
    <w:r w:rsidRPr="001C15CA">
      <w:rPr>
        <w:i/>
        <w:color w:val="C00000"/>
        <w:sz w:val="22"/>
        <w:highlight w:val="yellow"/>
      </w:rPr>
      <w:t>(See attachment: Tips on Writing Clear Learning Objectives)</w:t>
    </w:r>
    <w:r w:rsidRPr="001C15CA" w:rsidR="00587584">
      <w:rPr>
        <w:b/>
        <w:color w:val="C00000"/>
        <w:sz w:val="28"/>
        <w:szCs w:val="28"/>
      </w:rPr>
      <w:t xml:space="preserve"> </w:t>
    </w:r>
  </w:p>
  <w:p w:rsidR="005E35F4" w:rsidP="005E35F4" w:rsidRDefault="005E35F4" w14:paraId="2D6622A1" w14:textId="77777777">
    <w:pPr>
      <w:pStyle w:val="Header"/>
      <w:jc w:val="right"/>
      <w:rPr>
        <w:sz w:val="16"/>
        <w:szCs w:val="16"/>
      </w:rPr>
    </w:pPr>
  </w:p>
  <w:p w:rsidRPr="005A017B" w:rsidR="005E35F4" w:rsidP="005E35F4" w:rsidRDefault="005E35F4" w14:paraId="424B3F7F" w14:textId="7777777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AF69D5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8695BF7"/>
    <w:multiLevelType w:val="multilevel"/>
    <w:tmpl w:val="19B20302"/>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037D9"/>
    <w:multiLevelType w:val="hybridMultilevel"/>
    <w:tmpl w:val="AF70E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554F01"/>
    <w:multiLevelType w:val="hybridMultilevel"/>
    <w:tmpl w:val="3786809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6ED6E34"/>
    <w:multiLevelType w:val="hybridMultilevel"/>
    <w:tmpl w:val="2B36215E"/>
    <w:lvl w:ilvl="0" w:tplc="6EF2BF36">
      <w:start w:val="1"/>
      <w:numFmt w:val="decimal"/>
      <w:lvlText w:val="%1."/>
      <w:lvlJc w:val="left"/>
      <w:pPr>
        <w:tabs>
          <w:tab w:val="num" w:pos="360"/>
        </w:tabs>
        <w:ind w:left="360" w:hanging="360"/>
      </w:pPr>
      <w:rPr>
        <w:rFonts w:ascii="Garamond" w:hAnsi="Garamond" w:eastAsia="Times New Roman" w:cs="Times New Roman"/>
        <w:b w:val="0"/>
        <w:sz w:val="22"/>
        <w:szCs w:val="22"/>
      </w:rPr>
    </w:lvl>
    <w:lvl w:ilvl="1" w:tplc="E7B00302">
      <w:start w:val="1"/>
      <w:numFmt w:val="lowerLetter"/>
      <w:lvlText w:val="%2."/>
      <w:lvlJc w:val="left"/>
      <w:pPr>
        <w:tabs>
          <w:tab w:val="num" w:pos="1062"/>
        </w:tabs>
        <w:ind w:left="1062" w:hanging="360"/>
      </w:pPr>
      <w:rPr>
        <w:rFonts w:hint="default" w:ascii="Times New Roman" w:hAnsi="Times New Roman" w:cs="Times New Roman"/>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95645F9"/>
    <w:multiLevelType w:val="hybridMultilevel"/>
    <w:tmpl w:val="598CC7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60374DC"/>
    <w:multiLevelType w:val="hybridMultilevel"/>
    <w:tmpl w:val="AB14B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2678F5"/>
    <w:multiLevelType w:val="multilevel"/>
    <w:tmpl w:val="647A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62252"/>
    <w:multiLevelType w:val="hybridMultilevel"/>
    <w:tmpl w:val="00309ABC"/>
    <w:lvl w:ilvl="0" w:tplc="D7EAE5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7D51F0D"/>
    <w:multiLevelType w:val="hybridMultilevel"/>
    <w:tmpl w:val="DB6A00B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503857138">
    <w:abstractNumId w:val="6"/>
  </w:num>
  <w:num w:numId="2" w16cid:durableId="814877981">
    <w:abstractNumId w:val="8"/>
  </w:num>
  <w:num w:numId="3" w16cid:durableId="1756781102">
    <w:abstractNumId w:val="7"/>
  </w:num>
  <w:num w:numId="4" w16cid:durableId="1473669407">
    <w:abstractNumId w:val="2"/>
  </w:num>
  <w:num w:numId="5" w16cid:durableId="1206911002">
    <w:abstractNumId w:val="9"/>
  </w:num>
  <w:num w:numId="6" w16cid:durableId="379597181">
    <w:abstractNumId w:val="5"/>
  </w:num>
  <w:num w:numId="7" w16cid:durableId="759180464">
    <w:abstractNumId w:val="3"/>
  </w:num>
  <w:num w:numId="8" w16cid:durableId="1724401120">
    <w:abstractNumId w:val="4"/>
  </w:num>
  <w:num w:numId="9" w16cid:durableId="1284574270">
    <w:abstractNumId w:val="0"/>
  </w:num>
  <w:num w:numId="10" w16cid:durableId="117881498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67"/>
    <w:rsid w:val="00000C17"/>
    <w:rsid w:val="000252F3"/>
    <w:rsid w:val="00041CC3"/>
    <w:rsid w:val="00052867"/>
    <w:rsid w:val="00083ED0"/>
    <w:rsid w:val="00131AD6"/>
    <w:rsid w:val="001A2622"/>
    <w:rsid w:val="001C15CA"/>
    <w:rsid w:val="00223941"/>
    <w:rsid w:val="002370EF"/>
    <w:rsid w:val="0040064E"/>
    <w:rsid w:val="00413C5C"/>
    <w:rsid w:val="0041539F"/>
    <w:rsid w:val="00467088"/>
    <w:rsid w:val="004E1974"/>
    <w:rsid w:val="004E607A"/>
    <w:rsid w:val="0050426F"/>
    <w:rsid w:val="00536F10"/>
    <w:rsid w:val="00587584"/>
    <w:rsid w:val="005B4847"/>
    <w:rsid w:val="005D2427"/>
    <w:rsid w:val="005E35F4"/>
    <w:rsid w:val="006804D4"/>
    <w:rsid w:val="00680786"/>
    <w:rsid w:val="006E6ABD"/>
    <w:rsid w:val="007120C0"/>
    <w:rsid w:val="007A2E0F"/>
    <w:rsid w:val="007A75E2"/>
    <w:rsid w:val="00915E2A"/>
    <w:rsid w:val="00916E96"/>
    <w:rsid w:val="009B7A58"/>
    <w:rsid w:val="00A94B51"/>
    <w:rsid w:val="00B04609"/>
    <w:rsid w:val="00B749C7"/>
    <w:rsid w:val="00BA628D"/>
    <w:rsid w:val="00BE25C6"/>
    <w:rsid w:val="00CA7CA2"/>
    <w:rsid w:val="00CF24DE"/>
    <w:rsid w:val="00D7551D"/>
    <w:rsid w:val="00D96A5B"/>
    <w:rsid w:val="00DE4F37"/>
    <w:rsid w:val="00E04634"/>
    <w:rsid w:val="00E1694A"/>
    <w:rsid w:val="00F23BE3"/>
    <w:rsid w:val="00FB0553"/>
    <w:rsid w:val="00FD18D5"/>
    <w:rsid w:val="01FB312A"/>
    <w:rsid w:val="03A9D299"/>
    <w:rsid w:val="05919C4F"/>
    <w:rsid w:val="07C55276"/>
    <w:rsid w:val="07E019C5"/>
    <w:rsid w:val="096D3F58"/>
    <w:rsid w:val="0A0A070F"/>
    <w:rsid w:val="0AA5A039"/>
    <w:rsid w:val="0C047478"/>
    <w:rsid w:val="0D0CAA98"/>
    <w:rsid w:val="0D411FA1"/>
    <w:rsid w:val="128357E9"/>
    <w:rsid w:val="138AAEFE"/>
    <w:rsid w:val="161562FC"/>
    <w:rsid w:val="166F17D0"/>
    <w:rsid w:val="1682AC8D"/>
    <w:rsid w:val="1CF5CBD5"/>
    <w:rsid w:val="1DE26EF1"/>
    <w:rsid w:val="1F082099"/>
    <w:rsid w:val="1F53664A"/>
    <w:rsid w:val="209DCDF4"/>
    <w:rsid w:val="20BDDD87"/>
    <w:rsid w:val="215FAD79"/>
    <w:rsid w:val="220B41AD"/>
    <w:rsid w:val="23A2A716"/>
    <w:rsid w:val="2421B187"/>
    <w:rsid w:val="256B4309"/>
    <w:rsid w:val="274F1981"/>
    <w:rsid w:val="27EA60F4"/>
    <w:rsid w:val="285A0E2D"/>
    <w:rsid w:val="28958893"/>
    <w:rsid w:val="29518302"/>
    <w:rsid w:val="2C63F6AF"/>
    <w:rsid w:val="2EB0D4B7"/>
    <w:rsid w:val="2F472829"/>
    <w:rsid w:val="2FA78CA3"/>
    <w:rsid w:val="3121A2C9"/>
    <w:rsid w:val="33DA873A"/>
    <w:rsid w:val="3580570D"/>
    <w:rsid w:val="35F2BADF"/>
    <w:rsid w:val="36A05B2E"/>
    <w:rsid w:val="3AF95CA3"/>
    <w:rsid w:val="3EE88EB5"/>
    <w:rsid w:val="40AEC96D"/>
    <w:rsid w:val="41258636"/>
    <w:rsid w:val="429E0F61"/>
    <w:rsid w:val="46EA548B"/>
    <w:rsid w:val="47776F0E"/>
    <w:rsid w:val="4C3EDB9D"/>
    <w:rsid w:val="4EAF5AAD"/>
    <w:rsid w:val="50ADE3FE"/>
    <w:rsid w:val="51CF1315"/>
    <w:rsid w:val="521D3068"/>
    <w:rsid w:val="5380500B"/>
    <w:rsid w:val="567B974F"/>
    <w:rsid w:val="57B39A0E"/>
    <w:rsid w:val="5805DD80"/>
    <w:rsid w:val="59FBFD79"/>
    <w:rsid w:val="5B6B010A"/>
    <w:rsid w:val="5D88ED5A"/>
    <w:rsid w:val="5DB98C94"/>
    <w:rsid w:val="5E905D5D"/>
    <w:rsid w:val="62A97FA8"/>
    <w:rsid w:val="64303F05"/>
    <w:rsid w:val="664500D3"/>
    <w:rsid w:val="677A15D0"/>
    <w:rsid w:val="67DFF6BC"/>
    <w:rsid w:val="6B2A1A35"/>
    <w:rsid w:val="6BA1201B"/>
    <w:rsid w:val="6C8B84FC"/>
    <w:rsid w:val="730D9721"/>
    <w:rsid w:val="76B3DBDB"/>
    <w:rsid w:val="7706138B"/>
    <w:rsid w:val="78A76A87"/>
    <w:rsid w:val="7A75D9E0"/>
    <w:rsid w:val="7BB2543D"/>
    <w:rsid w:val="7BCD655C"/>
    <w:rsid w:val="7CFDE1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EA1544"/>
  <w14:defaultImageDpi w14:val="300"/>
  <w15:chartTrackingRefBased/>
  <w15:docId w15:val="{1C714D85-1247-49EC-8404-A266DF62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4">
    <w:name w:val="heading 4"/>
    <w:basedOn w:val="Normal"/>
    <w:qFormat/>
    <w:rsid w:val="00580C80"/>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52867"/>
    <w:rPr>
      <w:color w:val="0000FF"/>
      <w:u w:val="single"/>
    </w:rPr>
  </w:style>
  <w:style w:type="character" w:styleId="Emphasis">
    <w:name w:val="Emphasis"/>
    <w:qFormat/>
    <w:rsid w:val="00C4030D"/>
    <w:rPr>
      <w:i/>
      <w:iCs/>
    </w:rPr>
  </w:style>
  <w:style w:type="paragraph" w:styleId="NormalWeb">
    <w:name w:val="Normal (Web)"/>
    <w:basedOn w:val="Normal"/>
    <w:uiPriority w:val="99"/>
    <w:rsid w:val="00282B40"/>
    <w:pPr>
      <w:spacing w:before="100" w:beforeAutospacing="1" w:after="100" w:afterAutospacing="1"/>
    </w:pPr>
  </w:style>
  <w:style w:type="table" w:styleId="TableGrid">
    <w:name w:val="Table Grid"/>
    <w:basedOn w:val="TableNormal"/>
    <w:rsid w:val="005C11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4C476A"/>
    <w:pPr>
      <w:tabs>
        <w:tab w:val="center" w:pos="4320"/>
        <w:tab w:val="right" w:pos="8640"/>
      </w:tabs>
    </w:pPr>
  </w:style>
  <w:style w:type="paragraph" w:styleId="Footer">
    <w:name w:val="footer"/>
    <w:basedOn w:val="Normal"/>
    <w:rsid w:val="004C476A"/>
    <w:pPr>
      <w:tabs>
        <w:tab w:val="center" w:pos="4320"/>
        <w:tab w:val="right" w:pos="8640"/>
      </w:tabs>
    </w:pPr>
  </w:style>
  <w:style w:type="paragraph" w:styleId="BodyText2">
    <w:name w:val="Body Text 2"/>
    <w:basedOn w:val="Normal"/>
    <w:link w:val="BodyText2Char"/>
    <w:rsid w:val="00A94E7D"/>
    <w:pPr>
      <w:widowControl w:val="0"/>
    </w:pPr>
    <w:rPr>
      <w:rFonts w:ascii="Arial" w:hAnsi="Arial"/>
      <w:snapToGrid w:val="0"/>
      <w:sz w:val="22"/>
      <w:szCs w:val="20"/>
    </w:rPr>
  </w:style>
  <w:style w:type="character" w:styleId="BodyText2Char" w:customStyle="1">
    <w:name w:val="Body Text 2 Char"/>
    <w:link w:val="BodyText2"/>
    <w:rsid w:val="00A94E7D"/>
    <w:rPr>
      <w:rFonts w:ascii="Arial" w:hAnsi="Arial"/>
      <w:snapToGrid w:val="0"/>
      <w:sz w:val="22"/>
    </w:rPr>
  </w:style>
  <w:style w:type="paragraph" w:styleId="BalloonText">
    <w:name w:val="Balloon Text"/>
    <w:basedOn w:val="Normal"/>
    <w:link w:val="BalloonTextChar"/>
    <w:rsid w:val="00D9307A"/>
    <w:rPr>
      <w:rFonts w:ascii="Lucida Grande" w:hAnsi="Lucida Grande"/>
      <w:sz w:val="18"/>
      <w:szCs w:val="18"/>
    </w:rPr>
  </w:style>
  <w:style w:type="character" w:styleId="BalloonTextChar" w:customStyle="1">
    <w:name w:val="Balloon Text Char"/>
    <w:link w:val="BalloonText"/>
    <w:rsid w:val="00D9307A"/>
    <w:rPr>
      <w:rFonts w:ascii="Lucida Grande" w:hAnsi="Lucida Grande"/>
      <w:sz w:val="18"/>
      <w:szCs w:val="18"/>
    </w:rPr>
  </w:style>
  <w:style w:type="character" w:styleId="PageNumber">
    <w:name w:val="page number"/>
    <w:basedOn w:val="DefaultParagraphFont"/>
    <w:rsid w:val="000F1D6E"/>
  </w:style>
  <w:style w:type="character" w:styleId="Strong">
    <w:name w:val="Strong"/>
    <w:uiPriority w:val="22"/>
    <w:qFormat/>
    <w:rsid w:val="00BA628D"/>
    <w:rPr>
      <w:b/>
      <w:bCs/>
    </w:rPr>
  </w:style>
  <w:style w:type="paragraph" w:styleId="ListParagraph">
    <w:name w:val="List Paragraph"/>
    <w:basedOn w:val="Normal"/>
    <w:qFormat/>
    <w:rsid w:val="00680786"/>
    <w:pPr>
      <w:ind w:left="720"/>
      <w:contextualSpacing/>
    </w:pPr>
  </w:style>
  <w:style w:type="character" w:styleId="UnresolvedMention">
    <w:name w:val="Unresolved Mention"/>
    <w:basedOn w:val="DefaultParagraphFont"/>
    <w:uiPriority w:val="99"/>
    <w:semiHidden/>
    <w:unhideWhenUsed/>
    <w:rsid w:val="0071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0498">
      <w:bodyDiv w:val="1"/>
      <w:marLeft w:val="0"/>
      <w:marRight w:val="0"/>
      <w:marTop w:val="0"/>
      <w:marBottom w:val="0"/>
      <w:divBdr>
        <w:top w:val="none" w:sz="0" w:space="0" w:color="auto"/>
        <w:left w:val="none" w:sz="0" w:space="0" w:color="auto"/>
        <w:bottom w:val="none" w:sz="0" w:space="0" w:color="auto"/>
        <w:right w:val="none" w:sz="0" w:space="0" w:color="auto"/>
      </w:divBdr>
      <w:divsChild>
        <w:div w:id="1915697866">
          <w:marLeft w:val="0"/>
          <w:marRight w:val="0"/>
          <w:marTop w:val="0"/>
          <w:marBottom w:val="0"/>
          <w:divBdr>
            <w:top w:val="none" w:sz="0" w:space="0" w:color="auto"/>
            <w:left w:val="none" w:sz="0" w:space="0" w:color="auto"/>
            <w:bottom w:val="none" w:sz="0" w:space="0" w:color="auto"/>
            <w:right w:val="none" w:sz="0" w:space="0" w:color="auto"/>
          </w:divBdr>
          <w:divsChild>
            <w:div w:id="1857186613">
              <w:marLeft w:val="0"/>
              <w:marRight w:val="0"/>
              <w:marTop w:val="0"/>
              <w:marBottom w:val="0"/>
              <w:divBdr>
                <w:top w:val="none" w:sz="0" w:space="0" w:color="auto"/>
                <w:left w:val="none" w:sz="0" w:space="0" w:color="auto"/>
                <w:bottom w:val="none" w:sz="0" w:space="0" w:color="auto"/>
                <w:right w:val="none" w:sz="0" w:space="0" w:color="auto"/>
              </w:divBdr>
              <w:divsChild>
                <w:div w:id="1243296114">
                  <w:marLeft w:val="0"/>
                  <w:marRight w:val="0"/>
                  <w:marTop w:val="0"/>
                  <w:marBottom w:val="0"/>
                  <w:divBdr>
                    <w:top w:val="none" w:sz="0" w:space="0" w:color="auto"/>
                    <w:left w:val="none" w:sz="0" w:space="0" w:color="auto"/>
                    <w:bottom w:val="none" w:sz="0" w:space="0" w:color="auto"/>
                    <w:right w:val="none" w:sz="0" w:space="0" w:color="auto"/>
                  </w:divBdr>
                  <w:divsChild>
                    <w:div w:id="1263755623">
                      <w:marLeft w:val="0"/>
                      <w:marRight w:val="0"/>
                      <w:marTop w:val="0"/>
                      <w:marBottom w:val="0"/>
                      <w:divBdr>
                        <w:top w:val="none" w:sz="0" w:space="0" w:color="auto"/>
                        <w:left w:val="none" w:sz="0" w:space="0" w:color="auto"/>
                        <w:bottom w:val="none" w:sz="0" w:space="0" w:color="auto"/>
                        <w:right w:val="none" w:sz="0" w:space="0" w:color="auto"/>
                      </w:divBdr>
                      <w:divsChild>
                        <w:div w:id="1084762714">
                          <w:marLeft w:val="0"/>
                          <w:marRight w:val="0"/>
                          <w:marTop w:val="0"/>
                          <w:marBottom w:val="0"/>
                          <w:divBdr>
                            <w:top w:val="none" w:sz="0" w:space="0" w:color="auto"/>
                            <w:left w:val="none" w:sz="0" w:space="0" w:color="auto"/>
                            <w:bottom w:val="none" w:sz="0" w:space="0" w:color="auto"/>
                            <w:right w:val="none" w:sz="0" w:space="0" w:color="auto"/>
                          </w:divBdr>
                          <w:divsChild>
                            <w:div w:id="11382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dicine.yale.edu/md-program/curriculum/competencies-requirements/competencies/" TargetMode="External" Id="rId14" /><Relationship Type="http://schemas.microsoft.com/office/2011/relationships/people" Target="people.xml" Id="Rd99e6513949547ba" /><Relationship Type="http://schemas.microsoft.com/office/2011/relationships/commentsExtended" Target="commentsExtended.xml" Id="Rd4d86276222d4345" /><Relationship Type="http://schemas.microsoft.com/office/2016/09/relationships/commentsIds" Target="commentsIds.xml" Id="R0f94847081e3498f" /><Relationship Type="http://schemas.microsoft.com/office/2018/08/relationships/commentsExtensible" Target="commentsExtensible.xml" Id="R22aef55fab7f40c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803BEB5E7DE48A38EDFBE1CE4A5C9" ma:contentTypeVersion="3" ma:contentTypeDescription="Create a new document." ma:contentTypeScope="" ma:versionID="13ef3e6fe32ddeafc0545e9ad0d115ea">
  <xsd:schema xmlns:xsd="http://www.w3.org/2001/XMLSchema" xmlns:xs="http://www.w3.org/2001/XMLSchema" xmlns:p="http://schemas.microsoft.com/office/2006/metadata/properties" xmlns:ns2="36b735cf-bb57-4773-bf43-a05734b8fb35" targetNamespace="http://schemas.microsoft.com/office/2006/metadata/properties" ma:root="true" ma:fieldsID="15d308f4f391a18653439398d65ce0b7" ns2:_="">
    <xsd:import namespace="36b735cf-bb57-4773-bf43-a05734b8fb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735cf-bb57-4773-bf43-a05734b8f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95254-3109-4380-B578-6EE6F6B61BA2}">
  <ds:schemaRefs>
    <ds:schemaRef ds:uri="http://schemas.microsoft.com/office/2006/metadata/properties"/>
    <ds:schemaRef ds:uri="http://schemas.microsoft.com/office/infopath/2007/PartnerControls"/>
    <ds:schemaRef ds:uri="586d443c-2383-41d7-ae51-642c22ce1979"/>
  </ds:schemaRefs>
</ds:datastoreItem>
</file>

<file path=customXml/itemProps2.xml><?xml version="1.0" encoding="utf-8"?>
<ds:datastoreItem xmlns:ds="http://schemas.openxmlformats.org/officeDocument/2006/customXml" ds:itemID="{58CD243E-F884-4DFF-B0E6-EB14A6D149DA}">
  <ds:schemaRefs>
    <ds:schemaRef ds:uri="http://schemas.openxmlformats.org/officeDocument/2006/bibliography"/>
  </ds:schemaRefs>
</ds:datastoreItem>
</file>

<file path=customXml/itemProps3.xml><?xml version="1.0" encoding="utf-8"?>
<ds:datastoreItem xmlns:ds="http://schemas.openxmlformats.org/officeDocument/2006/customXml" ds:itemID="{FDBF8CD2-06DB-4553-A426-4EC3CAC44290}">
  <ds:schemaRefs>
    <ds:schemaRef ds:uri="http://schemas.microsoft.com/sharepoint/v3/contenttype/forms"/>
  </ds:schemaRefs>
</ds:datastoreItem>
</file>

<file path=customXml/itemProps4.xml><?xml version="1.0" encoding="utf-8"?>
<ds:datastoreItem xmlns:ds="http://schemas.openxmlformats.org/officeDocument/2006/customXml" ds:itemID="{C220EC75-4816-44A3-83AD-2E5A510FBCC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Yale University School of Medicine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DEVELOPING A CURRICULUM</dc:title>
  <dc:subject/>
  <dc:creator>eve</dc:creator>
  <keywords/>
  <dc:description/>
  <lastModifiedBy>Andrews, Aimee</lastModifiedBy>
  <revision>7</revision>
  <lastPrinted>2010-05-14T19:33:00.0000000Z</lastPrinted>
  <dcterms:created xsi:type="dcterms:W3CDTF">2025-04-03T19:07:00.0000000Z</dcterms:created>
  <dcterms:modified xsi:type="dcterms:W3CDTF">2025-10-07T17:36:38.0825682Z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0x010100BF0803BEB5E7DE48A38EDFBE1CE4A5C9</vt:lpwstr>
  </property>
  <property fmtid="{D5CDD505-2E9C-101B-9397-08002B2CF9AE}" pid="3" name="MediaServiceImageTags">
    <vt:lpwstr/>
  </property>
</Properties>
</file>