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A7A1" w14:textId="77777777" w:rsidR="00310560" w:rsidRPr="001B0BF7" w:rsidRDefault="00310560" w:rsidP="001B0BF7">
      <w:pPr>
        <w:pStyle w:val="Heading1"/>
        <w:jc w:val="center"/>
        <w:rPr>
          <w:color w:val="000000" w:themeColor="text1"/>
        </w:rPr>
      </w:pPr>
    </w:p>
    <w:p w14:paraId="2E2BADCC" w14:textId="77777777" w:rsidR="00310560" w:rsidRPr="001B0BF7" w:rsidRDefault="00310560" w:rsidP="001B0BF7">
      <w:pPr>
        <w:pStyle w:val="Heading1"/>
        <w:jc w:val="center"/>
        <w:rPr>
          <w:b/>
          <w:color w:val="000000" w:themeColor="text1"/>
          <w:sz w:val="24"/>
          <w:szCs w:val="24"/>
        </w:rPr>
      </w:pPr>
      <w:r w:rsidRPr="001B0BF7">
        <w:rPr>
          <w:b/>
          <w:color w:val="000000" w:themeColor="text1"/>
          <w:sz w:val="24"/>
          <w:szCs w:val="24"/>
        </w:rPr>
        <w:t>Peer-reviewed publications by transfusion medicine fellows</w:t>
      </w:r>
    </w:p>
    <w:p w14:paraId="62619F27" w14:textId="77777777" w:rsidR="001B0BF7" w:rsidRDefault="00310560" w:rsidP="001B0BF7">
      <w:pPr>
        <w:pStyle w:val="Heading1"/>
        <w:jc w:val="center"/>
        <w:rPr>
          <w:b/>
          <w:color w:val="000000" w:themeColor="text1"/>
          <w:sz w:val="24"/>
          <w:szCs w:val="24"/>
        </w:rPr>
      </w:pPr>
      <w:r w:rsidRPr="001B0BF7">
        <w:rPr>
          <w:b/>
          <w:color w:val="000000" w:themeColor="text1"/>
          <w:sz w:val="24"/>
          <w:szCs w:val="24"/>
        </w:rPr>
        <w:t>based on scholarly work done or written at Yale during their training</w:t>
      </w:r>
    </w:p>
    <w:p w14:paraId="79E91D78" w14:textId="517A7830" w:rsidR="00310560" w:rsidRPr="001B0BF7" w:rsidRDefault="00310560" w:rsidP="001B0BF7">
      <w:pPr>
        <w:jc w:val="center"/>
      </w:pPr>
      <w:r w:rsidRPr="001B0BF7">
        <w:t>(2010-present</w:t>
      </w:r>
      <w:r w:rsidR="00F11465" w:rsidRPr="001B0BF7">
        <w:t>; fellow</w:t>
      </w:r>
      <w:r w:rsidR="00DA4102" w:rsidRPr="001B0BF7">
        <w:t xml:space="preserve"> author</w:t>
      </w:r>
      <w:r w:rsidR="00F11465" w:rsidRPr="001B0BF7">
        <w:t>s are in bold text</w:t>
      </w:r>
      <w:r w:rsidRPr="001B0BF7">
        <w:t>)</w:t>
      </w:r>
    </w:p>
    <w:p w14:paraId="7F1C7D26" w14:textId="77777777" w:rsidR="00310560" w:rsidRPr="001B0BF7" w:rsidRDefault="00310560" w:rsidP="001B0BF7">
      <w:pPr>
        <w:jc w:val="center"/>
      </w:pPr>
    </w:p>
    <w:p w14:paraId="7DD51F02" w14:textId="5DA71F86" w:rsidR="00291AE4" w:rsidRDefault="00291AE4" w:rsidP="00310560">
      <w:pPr>
        <w:pStyle w:val="BodyText"/>
        <w:ind w:left="111"/>
        <w:rPr>
          <w:b/>
        </w:rPr>
      </w:pPr>
    </w:p>
    <w:p w14:paraId="29C58196" w14:textId="11070233" w:rsidR="003178C5" w:rsidRPr="003178C5" w:rsidRDefault="003178C5" w:rsidP="003178C5">
      <w:pPr>
        <w:pStyle w:val="BodyText"/>
        <w:ind w:left="111"/>
      </w:pPr>
      <w:r w:rsidRPr="003178C5">
        <w:t>Chaves Rivera MN, Choucair I, Vera MA, Lee ES, El-Khoury JM,</w:t>
      </w:r>
      <w:r w:rsidRPr="003178C5">
        <w:rPr>
          <w:b/>
        </w:rPr>
        <w:t xml:space="preserve"> Figueroa Villalba CA.</w:t>
      </w:r>
      <w:r>
        <w:rPr>
          <w:b/>
        </w:rPr>
        <w:t xml:space="preserve"> </w:t>
      </w:r>
      <w:r>
        <w:t xml:space="preserve">Haptoglobin in pregnancy: trimester-specific reference intervals. Am J Clin </w:t>
      </w:r>
      <w:proofErr w:type="spellStart"/>
      <w:r>
        <w:t>Pathol</w:t>
      </w:r>
      <w:proofErr w:type="spellEnd"/>
      <w:r>
        <w:t xml:space="preserve"> 2025:164:150-3.</w:t>
      </w:r>
    </w:p>
    <w:p w14:paraId="0CD9880B" w14:textId="77777777" w:rsidR="003178C5" w:rsidRDefault="003178C5" w:rsidP="003178C5">
      <w:pPr>
        <w:pStyle w:val="BodyText"/>
        <w:ind w:left="111"/>
        <w:rPr>
          <w:b/>
        </w:rPr>
      </w:pPr>
    </w:p>
    <w:p w14:paraId="78B15A2A" w14:textId="1909178F" w:rsidR="003178C5" w:rsidRDefault="003178C5" w:rsidP="003178C5">
      <w:pPr>
        <w:pStyle w:val="BodyText"/>
        <w:ind w:left="111"/>
        <w:rPr>
          <w:b/>
        </w:rPr>
      </w:pPr>
      <w:r w:rsidRPr="003178C5">
        <w:rPr>
          <w:b/>
        </w:rPr>
        <w:t xml:space="preserve">Yurtsever N, </w:t>
      </w:r>
      <w:r w:rsidRPr="003178C5">
        <w:t>Carmichael G, Malonis R, Madden MZ, Isik N,</w:t>
      </w:r>
      <w:r w:rsidRPr="003178C5">
        <w:rPr>
          <w:b/>
        </w:rPr>
        <w:t xml:space="preserve"> Ahmed MU, </w:t>
      </w:r>
      <w:proofErr w:type="spellStart"/>
      <w:r w:rsidRPr="003178C5">
        <w:t>Bizzario</w:t>
      </w:r>
      <w:proofErr w:type="spellEnd"/>
      <w:r w:rsidRPr="003178C5">
        <w:t xml:space="preserve"> L, Shah B, Tormey CA,</w:t>
      </w:r>
      <w:r w:rsidRPr="003178C5">
        <w:rPr>
          <w:b/>
        </w:rPr>
        <w:t xml:space="preserve"> Lee ES.</w:t>
      </w:r>
      <w:r>
        <w:rPr>
          <w:b/>
        </w:rPr>
        <w:t xml:space="preserve"> </w:t>
      </w:r>
      <w:r w:rsidRPr="003178C5">
        <w:t>Evaluation of nonspecific reactivity rates across three immunohematology testing platforms with assessment of subsequent specific alloantibody development</w:t>
      </w:r>
      <w:r>
        <w:t xml:space="preserve">. </w:t>
      </w:r>
      <w:proofErr w:type="spellStart"/>
      <w:r>
        <w:t>Transufsion</w:t>
      </w:r>
      <w:proofErr w:type="spellEnd"/>
      <w:r>
        <w:t xml:space="preserve"> </w:t>
      </w:r>
      <w:proofErr w:type="gramStart"/>
      <w:r>
        <w:t>2025;65:978</w:t>
      </w:r>
      <w:proofErr w:type="gramEnd"/>
      <w:r>
        <w:t>-84.</w:t>
      </w:r>
    </w:p>
    <w:p w14:paraId="24C3E2C2" w14:textId="54EC0DE2" w:rsidR="003178C5" w:rsidRDefault="003178C5" w:rsidP="003178C5">
      <w:pPr>
        <w:pStyle w:val="BodyText"/>
        <w:ind w:left="111"/>
        <w:rPr>
          <w:b/>
        </w:rPr>
      </w:pPr>
    </w:p>
    <w:p w14:paraId="7EDD6925" w14:textId="555FB0C2" w:rsidR="003178C5" w:rsidRPr="003178C5" w:rsidRDefault="003178C5" w:rsidP="003178C5">
      <w:pPr>
        <w:pStyle w:val="BodyText"/>
        <w:ind w:left="111"/>
      </w:pPr>
      <w:r w:rsidRPr="003178C5">
        <w:t xml:space="preserve">Jacobs JW, Raza S, Clark LM, Stephens LD, Allen ES, Woo JS, Walden RL, </w:t>
      </w:r>
      <w:r w:rsidRPr="003178C5">
        <w:rPr>
          <w:b/>
        </w:rPr>
        <w:t>Figueroa Villalba CA</w:t>
      </w:r>
      <w:r w:rsidRPr="003178C5">
        <w:t>, Tormey CA, Stanek CG, Adkins BD, Bloch EM, Booth GS.</w:t>
      </w:r>
      <w:r>
        <w:t xml:space="preserve"> Mixed autoimmune hemolytic anemia: a systematic review of epidemiology, clinical characteristics, therapies &amp; outcomes. Am J </w:t>
      </w:r>
      <w:proofErr w:type="spellStart"/>
      <w:r>
        <w:t>Hematol</w:t>
      </w:r>
      <w:proofErr w:type="spellEnd"/>
      <w:r>
        <w:t xml:space="preserve"> 2025;100:1397-1407.</w:t>
      </w:r>
    </w:p>
    <w:p w14:paraId="1A48229F" w14:textId="77777777" w:rsidR="003178C5" w:rsidRDefault="003178C5" w:rsidP="003178C5">
      <w:pPr>
        <w:pStyle w:val="BodyText"/>
        <w:ind w:left="111"/>
        <w:rPr>
          <w:b/>
        </w:rPr>
      </w:pPr>
    </w:p>
    <w:p w14:paraId="5EAE11F9" w14:textId="46DCEED9" w:rsidR="003178C5" w:rsidRDefault="003178C5" w:rsidP="003178C5">
      <w:pPr>
        <w:pStyle w:val="BodyText"/>
        <w:ind w:left="111"/>
        <w:rPr>
          <w:b/>
        </w:rPr>
      </w:pPr>
      <w:r w:rsidRPr="003178C5">
        <w:rPr>
          <w:b/>
        </w:rPr>
        <w:t xml:space="preserve">Yurtsever N, </w:t>
      </w:r>
      <w:r w:rsidRPr="003178C5">
        <w:t xml:space="preserve">Binns TC, Hendrickson JE, Tormey CA, </w:t>
      </w:r>
      <w:r w:rsidRPr="003178C5">
        <w:rPr>
          <w:b/>
        </w:rPr>
        <w:t>Lee ES</w:t>
      </w:r>
      <w:r w:rsidRPr="003178C5">
        <w:t>.</w:t>
      </w:r>
      <w:r>
        <w:t xml:space="preserve"> </w:t>
      </w:r>
      <w:r w:rsidRPr="003178C5">
        <w:t xml:space="preserve">Therapeutic plasma exchange for </w:t>
      </w:r>
      <w:proofErr w:type="spellStart"/>
      <w:r w:rsidRPr="003178C5">
        <w:t>hyperviscosity</w:t>
      </w:r>
      <w:proofErr w:type="spellEnd"/>
      <w:r w:rsidRPr="003178C5">
        <w:t xml:space="preserve"> syndrome in IgA multiple myeloma</w:t>
      </w:r>
      <w:r>
        <w:t xml:space="preserve">. Lab Med </w:t>
      </w:r>
      <w:proofErr w:type="gramStart"/>
      <w:r>
        <w:t>2025;56:85</w:t>
      </w:r>
      <w:proofErr w:type="gramEnd"/>
      <w:r>
        <w:t>-8.</w:t>
      </w:r>
    </w:p>
    <w:p w14:paraId="388197EC" w14:textId="77777777" w:rsidR="003178C5" w:rsidRDefault="003178C5" w:rsidP="00310560">
      <w:pPr>
        <w:pStyle w:val="BodyText"/>
        <w:ind w:left="111"/>
        <w:rPr>
          <w:b/>
        </w:rPr>
      </w:pPr>
    </w:p>
    <w:p w14:paraId="3919CFC4" w14:textId="37D31962" w:rsidR="003178C5" w:rsidRDefault="003178C5" w:rsidP="00310560">
      <w:pPr>
        <w:pStyle w:val="BodyText"/>
        <w:ind w:left="111"/>
        <w:rPr>
          <w:b/>
        </w:rPr>
      </w:pPr>
      <w:r w:rsidRPr="003178C5">
        <w:rPr>
          <w:b/>
        </w:rPr>
        <w:t xml:space="preserve">Yurtsever N, </w:t>
      </w:r>
      <w:r w:rsidRPr="003178C5">
        <w:t>Snyder EL.</w:t>
      </w:r>
      <w:r>
        <w:t xml:space="preserve"> </w:t>
      </w:r>
      <w:r w:rsidRPr="003178C5">
        <w:t>Misoprostol administration mimicking a febrile transfusion reaction</w:t>
      </w:r>
      <w:r>
        <w:t xml:space="preserve">. </w:t>
      </w:r>
      <w:proofErr w:type="spellStart"/>
      <w:r>
        <w:t>Tranfusion</w:t>
      </w:r>
      <w:proofErr w:type="spellEnd"/>
      <w:r>
        <w:t xml:space="preserve"> 2025’65:643-6.</w:t>
      </w:r>
    </w:p>
    <w:p w14:paraId="0F179485" w14:textId="00208BB2" w:rsidR="003178C5" w:rsidRDefault="003178C5" w:rsidP="00310560">
      <w:pPr>
        <w:pStyle w:val="BodyText"/>
        <w:ind w:left="111"/>
        <w:rPr>
          <w:b/>
        </w:rPr>
      </w:pPr>
    </w:p>
    <w:p w14:paraId="7B9BEA87" w14:textId="286AD10C" w:rsidR="003178C5" w:rsidRPr="003178C5" w:rsidRDefault="003178C5" w:rsidP="00310560">
      <w:pPr>
        <w:pStyle w:val="BodyText"/>
        <w:ind w:left="111"/>
      </w:pPr>
      <w:r w:rsidRPr="003178C5">
        <w:t xml:space="preserve">Jacobs JW, Sharma D, Stephens LD, </w:t>
      </w:r>
      <w:r w:rsidRPr="003178C5">
        <w:rPr>
          <w:b/>
        </w:rPr>
        <w:t>Figueroa Villalba CA</w:t>
      </w:r>
      <w:r w:rsidRPr="003178C5">
        <w:t xml:space="preserve">, Rinder HM, Woo JS, Wheeler AP, </w:t>
      </w:r>
      <w:proofErr w:type="spellStart"/>
      <w:r w:rsidRPr="003178C5">
        <w:t>Gerberi</w:t>
      </w:r>
      <w:proofErr w:type="spellEnd"/>
      <w:r w:rsidRPr="003178C5">
        <w:t xml:space="preserve"> D, Goel R, Tormey CA, Booth GS, Bloch EM, Adkins BD.</w:t>
      </w:r>
    </w:p>
    <w:p w14:paraId="209F41E9" w14:textId="77777777" w:rsidR="003178C5" w:rsidRDefault="003178C5" w:rsidP="00310560">
      <w:pPr>
        <w:pStyle w:val="BodyText"/>
        <w:ind w:left="111"/>
        <w:rPr>
          <w:b/>
        </w:rPr>
      </w:pPr>
    </w:p>
    <w:p w14:paraId="6F7138B6" w14:textId="2E445903" w:rsidR="003178C5" w:rsidRDefault="003178C5" w:rsidP="00310560">
      <w:pPr>
        <w:pStyle w:val="BodyText"/>
        <w:ind w:left="111"/>
        <w:rPr>
          <w:b/>
        </w:rPr>
      </w:pPr>
      <w:r w:rsidRPr="003178C5">
        <w:rPr>
          <w:b/>
        </w:rPr>
        <w:t xml:space="preserve">Yurtsever N, Lee ES, </w:t>
      </w:r>
      <w:proofErr w:type="spellStart"/>
      <w:r w:rsidRPr="003178C5">
        <w:t>Pinatti</w:t>
      </w:r>
      <w:proofErr w:type="spellEnd"/>
      <w:r w:rsidRPr="003178C5">
        <w:t xml:space="preserve"> L, Shah B, Tormey CA, Siddon AJ</w:t>
      </w:r>
      <w:r w:rsidRPr="003178C5">
        <w:rPr>
          <w:b/>
        </w:rPr>
        <w:t>.</w:t>
      </w:r>
      <w:r>
        <w:rPr>
          <w:b/>
        </w:rPr>
        <w:t xml:space="preserve"> </w:t>
      </w:r>
      <w:r w:rsidRPr="003178C5">
        <w:t>Mixed-field ABO front typing as an early sign of disease recurrence in ABO-matched stem cell transplantation</w:t>
      </w:r>
      <w:r>
        <w:t xml:space="preserve">. Immunohematology </w:t>
      </w:r>
      <w:proofErr w:type="gramStart"/>
      <w:r>
        <w:t>2024;40:89</w:t>
      </w:r>
      <w:proofErr w:type="gramEnd"/>
      <w:r>
        <w:t>-92.</w:t>
      </w:r>
    </w:p>
    <w:p w14:paraId="4CE654F4" w14:textId="24E2748E" w:rsidR="003178C5" w:rsidRDefault="003178C5" w:rsidP="00310560">
      <w:pPr>
        <w:pStyle w:val="BodyText"/>
        <w:ind w:left="111"/>
        <w:rPr>
          <w:b/>
        </w:rPr>
      </w:pPr>
    </w:p>
    <w:p w14:paraId="1E9E3219" w14:textId="217801BC" w:rsidR="003178C5" w:rsidRPr="003178C5" w:rsidRDefault="003178C5" w:rsidP="00310560">
      <w:pPr>
        <w:pStyle w:val="BodyText"/>
        <w:ind w:left="111"/>
      </w:pPr>
      <w:r w:rsidRPr="003178C5">
        <w:t>Chaves Rivera MN, Choucair I, Vera MA, El-Khoury JM,</w:t>
      </w:r>
      <w:r w:rsidRPr="003178C5">
        <w:rPr>
          <w:b/>
        </w:rPr>
        <w:t xml:space="preserve"> Figueroa Villalba C.</w:t>
      </w:r>
      <w:r>
        <w:rPr>
          <w:b/>
        </w:rPr>
        <w:t xml:space="preserve"> </w:t>
      </w:r>
      <w:r>
        <w:t xml:space="preserve">Puzzling undetectable haptoglobin in a transfused pregnant patient. Clin Chim Acta </w:t>
      </w:r>
      <w:proofErr w:type="gramStart"/>
      <w:r>
        <w:t>2024;561:119829</w:t>
      </w:r>
      <w:proofErr w:type="gramEnd"/>
      <w:r>
        <w:t>.</w:t>
      </w:r>
    </w:p>
    <w:p w14:paraId="03B6D0AB" w14:textId="77777777" w:rsidR="003178C5" w:rsidRDefault="003178C5" w:rsidP="00310560">
      <w:pPr>
        <w:pStyle w:val="BodyText"/>
        <w:ind w:left="111"/>
        <w:rPr>
          <w:b/>
        </w:rPr>
      </w:pPr>
    </w:p>
    <w:p w14:paraId="2EC3A9D1" w14:textId="6D07C1EA" w:rsidR="003178C5" w:rsidRDefault="003178C5" w:rsidP="00EA06F7">
      <w:pPr>
        <w:pStyle w:val="BodyText"/>
        <w:ind w:left="111"/>
      </w:pPr>
      <w:r w:rsidRPr="003178C5">
        <w:rPr>
          <w:b/>
        </w:rPr>
        <w:t>Yurtsever N</w:t>
      </w:r>
      <w:r w:rsidRPr="003178C5">
        <w:t>, Jacobs JW, Booth GS, Schwartz J, Park YA, Woo JS, Lauro D, Torres S, Ward DC, Stephens LD, Allen ES, Tormey CA, Adkins BD.</w:t>
      </w:r>
      <w:r>
        <w:t xml:space="preserve"> </w:t>
      </w:r>
      <w:r w:rsidRPr="003178C5">
        <w:t xml:space="preserve">A multi-institutional survey of apheresis services among institutions in the United States J Clin </w:t>
      </w:r>
      <w:proofErr w:type="spellStart"/>
      <w:r w:rsidRPr="003178C5">
        <w:t>Apher</w:t>
      </w:r>
      <w:proofErr w:type="spellEnd"/>
      <w:r w:rsidRPr="003178C5">
        <w:t xml:space="preserve"> 2024;</w:t>
      </w:r>
      <w:proofErr w:type="gramStart"/>
      <w:r w:rsidRPr="003178C5">
        <w:t>39:e</w:t>
      </w:r>
      <w:proofErr w:type="gramEnd"/>
      <w:r w:rsidRPr="003178C5">
        <w:t>22138</w:t>
      </w:r>
      <w:r>
        <w:t>.</w:t>
      </w:r>
    </w:p>
    <w:p w14:paraId="4A670799" w14:textId="77777777" w:rsidR="003178C5" w:rsidRDefault="003178C5" w:rsidP="00EA06F7">
      <w:pPr>
        <w:pStyle w:val="BodyText"/>
        <w:ind w:left="111"/>
      </w:pPr>
    </w:p>
    <w:p w14:paraId="30E7BB30" w14:textId="23568CDF" w:rsidR="003A0C8D" w:rsidRPr="003A0C8D" w:rsidRDefault="003A0C8D" w:rsidP="00EA06F7">
      <w:pPr>
        <w:pStyle w:val="BodyText"/>
        <w:ind w:left="111"/>
      </w:pPr>
      <w:r>
        <w:t xml:space="preserve">Burke O, </w:t>
      </w:r>
      <w:r w:rsidRPr="003A0C8D">
        <w:rPr>
          <w:b/>
        </w:rPr>
        <w:t>Jacobs JW</w:t>
      </w:r>
      <w:r>
        <w:t xml:space="preserve">, Tormey CA, Rinder HM, Figueroa Villalba CA, </w:t>
      </w:r>
      <w:r w:rsidRPr="003A0C8D">
        <w:rPr>
          <w:b/>
        </w:rPr>
        <w:t>Lee ES</w:t>
      </w:r>
      <w:r>
        <w:t xml:space="preserve">, Silva Campos JJ, </w:t>
      </w:r>
      <w:r w:rsidRPr="003A0C8D">
        <w:rPr>
          <w:b/>
        </w:rPr>
        <w:t>Abels E, Yurtsever N</w:t>
      </w:r>
      <w:r>
        <w:t xml:space="preserve">. </w:t>
      </w:r>
      <w:proofErr w:type="spellStart"/>
      <w:r>
        <w:t>Heidenhain</w:t>
      </w:r>
      <w:proofErr w:type="spellEnd"/>
      <w:r>
        <w:t xml:space="preserve"> variant of Creutzfeldt-Jakob disease masquerading as neuromyelitis </w:t>
      </w:r>
      <w:proofErr w:type="spellStart"/>
      <w:r>
        <w:t>optica</w:t>
      </w:r>
      <w:proofErr w:type="spellEnd"/>
      <w:r>
        <w:t xml:space="preserve"> spectrum disorder: recognizing when apheresis is not the answer. Lab Med </w:t>
      </w:r>
      <w:proofErr w:type="gramStart"/>
      <w:r w:rsidR="003178C5" w:rsidRPr="003178C5">
        <w:t>2024;55:520</w:t>
      </w:r>
      <w:proofErr w:type="gramEnd"/>
      <w:r w:rsidR="003178C5" w:rsidRPr="003178C5">
        <w:t>-523</w:t>
      </w:r>
    </w:p>
    <w:p w14:paraId="69337C49" w14:textId="77777777" w:rsidR="003A0C8D" w:rsidRDefault="003A0C8D" w:rsidP="00EA06F7">
      <w:pPr>
        <w:pStyle w:val="BodyText"/>
        <w:ind w:left="111"/>
        <w:rPr>
          <w:b/>
        </w:rPr>
      </w:pPr>
    </w:p>
    <w:p w14:paraId="63DF2A94" w14:textId="4504EE37" w:rsidR="00EA06F7" w:rsidRDefault="00EA06F7" w:rsidP="00EA06F7">
      <w:pPr>
        <w:pStyle w:val="BodyText"/>
        <w:ind w:left="111"/>
      </w:pPr>
      <w:r>
        <w:rPr>
          <w:b/>
        </w:rPr>
        <w:t xml:space="preserve">Abels E, Jacobs JW, </w:t>
      </w:r>
      <w:r>
        <w:t xml:space="preserve">Prior D, Willets LC, Sostin N, Tormey CA, </w:t>
      </w:r>
      <w:r w:rsidRPr="00EA06F7">
        <w:rPr>
          <w:b/>
        </w:rPr>
        <w:t>Binns TC</w:t>
      </w:r>
      <w:r>
        <w:t xml:space="preserve">. Passive transfer of alloantibodies through breast mild as a mediator of hemolytic anemia. Transfusion </w:t>
      </w:r>
      <w:proofErr w:type="gramStart"/>
      <w:r>
        <w:t>2023;63:2188</w:t>
      </w:r>
      <w:proofErr w:type="gramEnd"/>
      <w:r>
        <w:t>-2196.</w:t>
      </w:r>
    </w:p>
    <w:p w14:paraId="4A543D2B" w14:textId="1CBB89AB" w:rsidR="00EA06F7" w:rsidRDefault="00EA06F7" w:rsidP="00310560">
      <w:pPr>
        <w:pStyle w:val="BodyText"/>
        <w:ind w:left="111"/>
        <w:rPr>
          <w:b/>
        </w:rPr>
      </w:pPr>
    </w:p>
    <w:p w14:paraId="2EC7F276" w14:textId="42F310AA" w:rsidR="00EA06F7" w:rsidRDefault="00EA06F7" w:rsidP="00EA06F7">
      <w:pPr>
        <w:pStyle w:val="BodyText"/>
        <w:ind w:left="111"/>
      </w:pPr>
      <w:r w:rsidRPr="00EA06F7">
        <w:rPr>
          <w:b/>
        </w:rPr>
        <w:t>Abels E, Binns TC</w:t>
      </w:r>
      <w:r>
        <w:t xml:space="preserve">, </w:t>
      </w:r>
      <w:proofErr w:type="spellStart"/>
      <w:r>
        <w:t>Sostin</w:t>
      </w:r>
      <w:proofErr w:type="spellEnd"/>
      <w:r>
        <w:t xml:space="preserve"> N, Stendahl K, Tormey CA, </w:t>
      </w:r>
      <w:r w:rsidRPr="00EA06F7">
        <w:rPr>
          <w:b/>
        </w:rPr>
        <w:t>Jacobs JW</w:t>
      </w:r>
      <w:r>
        <w:t xml:space="preserve">. Pregnant patients with sickle cell disease and </w:t>
      </w:r>
      <w:proofErr w:type="spellStart"/>
      <w:r>
        <w:t>hyperhemolysis</w:t>
      </w:r>
      <w:proofErr w:type="spellEnd"/>
      <w:r>
        <w:t xml:space="preserve"> requiring intrauterine transfusion: a challenging clinical scenario. </w:t>
      </w:r>
      <w:proofErr w:type="spellStart"/>
      <w:r>
        <w:t>Pediatr</w:t>
      </w:r>
      <w:proofErr w:type="spellEnd"/>
      <w:r>
        <w:t xml:space="preserve"> Blood Cancer </w:t>
      </w:r>
      <w:proofErr w:type="gramStart"/>
      <w:r>
        <w:t>2023;e</w:t>
      </w:r>
      <w:proofErr w:type="gramEnd"/>
      <w:r>
        <w:t>30428.</w:t>
      </w:r>
    </w:p>
    <w:p w14:paraId="01D316CA" w14:textId="1A1DF7D6" w:rsidR="00EA06F7" w:rsidRDefault="00EA06F7" w:rsidP="00EA06F7">
      <w:pPr>
        <w:pStyle w:val="BodyText"/>
        <w:ind w:left="111"/>
      </w:pPr>
    </w:p>
    <w:p w14:paraId="0AB985EB" w14:textId="29453487" w:rsidR="00EA06F7" w:rsidRPr="00EA06F7" w:rsidRDefault="00EA06F7" w:rsidP="00EA06F7">
      <w:pPr>
        <w:pStyle w:val="BodyText"/>
        <w:ind w:left="111"/>
      </w:pPr>
      <w:r w:rsidRPr="00EA06F7">
        <w:rPr>
          <w:b/>
        </w:rPr>
        <w:t>Abels E, Binns TC, Jacobs JW</w:t>
      </w:r>
      <w:r>
        <w:t xml:space="preserve">, Stendahl K, Tormey CA. Rh alloimmunization following transfusion of one apheresis platelet unit. Transfusion </w:t>
      </w:r>
      <w:proofErr w:type="gramStart"/>
      <w:r>
        <w:t>2023;63:656</w:t>
      </w:r>
      <w:proofErr w:type="gramEnd"/>
      <w:r>
        <w:t>-657.</w:t>
      </w:r>
    </w:p>
    <w:p w14:paraId="619D1FF0" w14:textId="44010113" w:rsidR="00EA06F7" w:rsidRDefault="00EA06F7" w:rsidP="00310560">
      <w:pPr>
        <w:pStyle w:val="BodyText"/>
        <w:ind w:left="111"/>
        <w:rPr>
          <w:b/>
        </w:rPr>
      </w:pPr>
    </w:p>
    <w:p w14:paraId="75930519" w14:textId="5C7644FA" w:rsidR="00EA06F7" w:rsidRPr="00EA06F7" w:rsidRDefault="00EA06F7" w:rsidP="00310560">
      <w:pPr>
        <w:pStyle w:val="BodyText"/>
        <w:ind w:left="111"/>
      </w:pPr>
      <w:r>
        <w:rPr>
          <w:b/>
        </w:rPr>
        <w:t>Binns TC</w:t>
      </w:r>
      <w:r>
        <w:t xml:space="preserve">, </w:t>
      </w:r>
      <w:proofErr w:type="spellStart"/>
      <w:r>
        <w:t>Sostin</w:t>
      </w:r>
      <w:proofErr w:type="spellEnd"/>
      <w:r>
        <w:t xml:space="preserve"> N, Tormey CA. State of the evidence: drug removal via apheresis. </w:t>
      </w:r>
      <w:proofErr w:type="spellStart"/>
      <w:r>
        <w:t>Transfus</w:t>
      </w:r>
      <w:proofErr w:type="spellEnd"/>
      <w:r>
        <w:t xml:space="preserve"> Med Rev </w:t>
      </w:r>
      <w:proofErr w:type="gramStart"/>
      <w:r>
        <w:t>2023;37:16</w:t>
      </w:r>
      <w:proofErr w:type="gramEnd"/>
      <w:r>
        <w:t>-20.</w:t>
      </w:r>
    </w:p>
    <w:p w14:paraId="029E7295" w14:textId="77777777" w:rsidR="00EA06F7" w:rsidRDefault="00EA06F7" w:rsidP="00310560">
      <w:pPr>
        <w:pStyle w:val="BodyText"/>
        <w:ind w:left="111"/>
        <w:rPr>
          <w:b/>
        </w:rPr>
      </w:pPr>
    </w:p>
    <w:p w14:paraId="35D17FBF" w14:textId="77777777" w:rsidR="00EA06F7" w:rsidRDefault="00EA06F7" w:rsidP="00310560">
      <w:pPr>
        <w:pStyle w:val="BodyText"/>
        <w:ind w:left="111"/>
      </w:pPr>
      <w:r>
        <w:rPr>
          <w:b/>
        </w:rPr>
        <w:t xml:space="preserve">Jacobs JW, </w:t>
      </w:r>
      <w:r>
        <w:t xml:space="preserve">Stephens LD, Allen ES, </w:t>
      </w:r>
      <w:r w:rsidRPr="00EA06F7">
        <w:rPr>
          <w:b/>
        </w:rPr>
        <w:t>Binns TC</w:t>
      </w:r>
      <w:r>
        <w:t xml:space="preserve">, Booth GS, Hendrickson JE, </w:t>
      </w:r>
      <w:proofErr w:type="spellStart"/>
      <w:r>
        <w:t>Karafin</w:t>
      </w:r>
      <w:proofErr w:type="spellEnd"/>
      <w:r>
        <w:t xml:space="preserve"> MS, Tormey </w:t>
      </w:r>
    </w:p>
    <w:p w14:paraId="3876753A" w14:textId="135EC5A8" w:rsidR="00EA06F7" w:rsidRPr="00EA06F7" w:rsidRDefault="00EA06F7" w:rsidP="00310560">
      <w:pPr>
        <w:pStyle w:val="BodyText"/>
        <w:ind w:left="111"/>
      </w:pPr>
      <w:r>
        <w:t xml:space="preserve">CA, Woo JS, Adkins BD. Epidemiological and clinical features, therapeutic strategies and outcomes in patients with hyperhaemolysis: a systematic review. Br J </w:t>
      </w:r>
      <w:proofErr w:type="spellStart"/>
      <w:r>
        <w:t>Haematol</w:t>
      </w:r>
      <w:proofErr w:type="spellEnd"/>
      <w:r>
        <w:t xml:space="preserve"> </w:t>
      </w:r>
      <w:proofErr w:type="gramStart"/>
      <w:r>
        <w:t>2023;201:1025</w:t>
      </w:r>
      <w:proofErr w:type="gramEnd"/>
      <w:r>
        <w:t>-1032.</w:t>
      </w:r>
    </w:p>
    <w:p w14:paraId="36C553A1" w14:textId="47AD64C5" w:rsidR="00EA06F7" w:rsidRDefault="00EA06F7" w:rsidP="00310560">
      <w:pPr>
        <w:pStyle w:val="BodyText"/>
        <w:ind w:left="111"/>
        <w:rPr>
          <w:b/>
        </w:rPr>
      </w:pPr>
    </w:p>
    <w:p w14:paraId="25DCD634" w14:textId="0BF10DC1" w:rsidR="00EA06F7" w:rsidRPr="00EA06F7" w:rsidRDefault="00EA06F7" w:rsidP="00310560">
      <w:pPr>
        <w:pStyle w:val="BodyText"/>
        <w:ind w:left="111"/>
      </w:pPr>
      <w:r>
        <w:rPr>
          <w:b/>
        </w:rPr>
        <w:t>Jacobs JW, Binns TC, Abels E</w:t>
      </w:r>
      <w:r>
        <w:t xml:space="preserve">, Tormey CA. Autoimmune </w:t>
      </w:r>
      <w:proofErr w:type="spellStart"/>
      <w:r>
        <w:t>haemolytic</w:t>
      </w:r>
      <w:proofErr w:type="spellEnd"/>
      <w:r>
        <w:t xml:space="preserve"> anemia secondary to babesiosis: a review of reported cases and description of a novel association with cold antibody-mediated </w:t>
      </w:r>
      <w:proofErr w:type="spellStart"/>
      <w:r>
        <w:t>haemolytic</w:t>
      </w:r>
      <w:proofErr w:type="spellEnd"/>
      <w:r>
        <w:t xml:space="preserve"> anemia. Br J </w:t>
      </w:r>
      <w:proofErr w:type="spellStart"/>
      <w:r>
        <w:t>Haematol</w:t>
      </w:r>
      <w:proofErr w:type="spellEnd"/>
      <w:r>
        <w:t xml:space="preserve"> </w:t>
      </w:r>
      <w:proofErr w:type="gramStart"/>
      <w:r>
        <w:t>2023;201:364</w:t>
      </w:r>
      <w:proofErr w:type="gramEnd"/>
      <w:r>
        <w:t>-369.</w:t>
      </w:r>
    </w:p>
    <w:p w14:paraId="6DD02F38" w14:textId="77777777" w:rsidR="00EA06F7" w:rsidRDefault="00EA06F7" w:rsidP="00310560">
      <w:pPr>
        <w:pStyle w:val="BodyText"/>
        <w:ind w:left="111"/>
        <w:rPr>
          <w:b/>
        </w:rPr>
      </w:pPr>
    </w:p>
    <w:p w14:paraId="61FFB37B" w14:textId="24125193" w:rsidR="00EA06F7" w:rsidRPr="00EA06F7" w:rsidRDefault="00EA06F7" w:rsidP="00310560">
      <w:pPr>
        <w:pStyle w:val="BodyText"/>
        <w:ind w:left="111"/>
      </w:pPr>
      <w:r>
        <w:rPr>
          <w:b/>
        </w:rPr>
        <w:t xml:space="preserve">Jacobs JW, Abels E, Binns TC, </w:t>
      </w:r>
      <w:r>
        <w:t>Tormey CA, Sostin N. Hemolytic disease of the fetus and newborn mediated by anti-Di</w:t>
      </w:r>
      <w:r w:rsidRPr="00EA06F7">
        <w:rPr>
          <w:vertAlign w:val="superscript"/>
        </w:rPr>
        <w:t>a</w:t>
      </w:r>
      <w:r>
        <w:t xml:space="preserve"> in a US hospital. Immunohematology </w:t>
      </w:r>
      <w:proofErr w:type="gramStart"/>
      <w:r>
        <w:t>2023;39:32</w:t>
      </w:r>
      <w:proofErr w:type="gramEnd"/>
      <w:r>
        <w:t>-34.</w:t>
      </w:r>
    </w:p>
    <w:p w14:paraId="5FEA9B6B" w14:textId="77777777" w:rsidR="00EA06F7" w:rsidRDefault="00EA06F7" w:rsidP="00310560">
      <w:pPr>
        <w:pStyle w:val="BodyText"/>
        <w:ind w:left="111"/>
        <w:rPr>
          <w:b/>
        </w:rPr>
      </w:pPr>
    </w:p>
    <w:p w14:paraId="61A7D6A7" w14:textId="60377446" w:rsidR="00EA06F7" w:rsidRPr="00EA06F7" w:rsidRDefault="00EA06F7" w:rsidP="00310560">
      <w:pPr>
        <w:pStyle w:val="BodyText"/>
        <w:ind w:left="111"/>
      </w:pPr>
      <w:r w:rsidRPr="00EA06F7">
        <w:rPr>
          <w:b/>
        </w:rPr>
        <w:t>Jacobs JW, Binns TC, Abels E</w:t>
      </w:r>
      <w:r>
        <w:t xml:space="preserve">, Silva Campos JJ, </w:t>
      </w:r>
      <w:proofErr w:type="spellStart"/>
      <w:r>
        <w:t>Elkabbani</w:t>
      </w:r>
      <w:proofErr w:type="spellEnd"/>
      <w:r>
        <w:t xml:space="preserve"> R, Kress A, Sostin N, Tormey CA. warm autoantibodies mimicking alloantibodies: three cases of autoantibodies with unusual antigenic specificity. Am J Clin </w:t>
      </w:r>
      <w:proofErr w:type="spellStart"/>
      <w:r>
        <w:t>Pathol</w:t>
      </w:r>
      <w:proofErr w:type="spellEnd"/>
      <w:r>
        <w:t xml:space="preserve"> </w:t>
      </w:r>
      <w:proofErr w:type="gramStart"/>
      <w:r>
        <w:t>2023;160:561</w:t>
      </w:r>
      <w:proofErr w:type="gramEnd"/>
      <w:r>
        <w:t>-565.</w:t>
      </w:r>
    </w:p>
    <w:p w14:paraId="7481E625" w14:textId="39A951D9" w:rsidR="00EA06F7" w:rsidRDefault="00EA06F7" w:rsidP="00310560">
      <w:pPr>
        <w:pStyle w:val="BodyText"/>
        <w:ind w:left="111"/>
        <w:rPr>
          <w:b/>
        </w:rPr>
      </w:pPr>
    </w:p>
    <w:p w14:paraId="2FB5B62B" w14:textId="4041245B" w:rsidR="00EA06F7" w:rsidRDefault="00EA06F7" w:rsidP="00310560">
      <w:pPr>
        <w:pStyle w:val="BodyText"/>
        <w:ind w:left="111"/>
      </w:pPr>
      <w:r>
        <w:rPr>
          <w:b/>
        </w:rPr>
        <w:t>Jacobs JW, Abels E, Binns TC</w:t>
      </w:r>
      <w:r>
        <w:t>, Tormey CA, Sostin N. Warm autoimmune hemolytic anemia with anti-</w:t>
      </w:r>
      <w:proofErr w:type="spellStart"/>
      <w:r>
        <w:t>Jk</w:t>
      </w:r>
      <w:r w:rsidRPr="00EA06F7">
        <w:rPr>
          <w:vertAlign w:val="superscript"/>
        </w:rPr>
        <w:t>a</w:t>
      </w:r>
      <w:proofErr w:type="spellEnd"/>
      <w:r>
        <w:t xml:space="preserve"> specificity following babesiosis masquerading as a delayed hemolytic transfusion reaction. Transfusion </w:t>
      </w:r>
      <w:proofErr w:type="gramStart"/>
      <w:r>
        <w:t>2023;63:827</w:t>
      </w:r>
      <w:proofErr w:type="gramEnd"/>
      <w:r>
        <w:t>-876.</w:t>
      </w:r>
    </w:p>
    <w:p w14:paraId="1E1C825D" w14:textId="46C1F251" w:rsidR="00EA06F7" w:rsidRDefault="00EA06F7" w:rsidP="00310560">
      <w:pPr>
        <w:pStyle w:val="BodyText"/>
        <w:ind w:left="111"/>
      </w:pPr>
    </w:p>
    <w:p w14:paraId="1979E0AC" w14:textId="290BC7F6" w:rsidR="00EA06F7" w:rsidRPr="00EA06F7" w:rsidRDefault="00EA06F7" w:rsidP="00310560">
      <w:pPr>
        <w:pStyle w:val="BodyText"/>
        <w:ind w:left="111"/>
      </w:pPr>
      <w:r w:rsidRPr="00EA06F7">
        <w:rPr>
          <w:b/>
        </w:rPr>
        <w:t>Jacobs JW, Binns TC, Abels E</w:t>
      </w:r>
      <w:r>
        <w:t xml:space="preserve">, Iyer K, Figueroa Villalba CA, Verma A, </w:t>
      </w:r>
      <w:proofErr w:type="spellStart"/>
      <w:r>
        <w:t>Sostin</w:t>
      </w:r>
      <w:proofErr w:type="spellEnd"/>
      <w:r>
        <w:t xml:space="preserve"> N, Tormey CA. Alloimmunization following antigen-negative red blood cell transfusion. Transfusion </w:t>
      </w:r>
      <w:proofErr w:type="gramStart"/>
      <w:r>
        <w:t>2023;63:430</w:t>
      </w:r>
      <w:proofErr w:type="gramEnd"/>
      <w:r>
        <w:t>-434.</w:t>
      </w:r>
    </w:p>
    <w:p w14:paraId="3352BC4D" w14:textId="6D9049E1" w:rsidR="00EA06F7" w:rsidRDefault="00EA06F7" w:rsidP="00310560">
      <w:pPr>
        <w:pStyle w:val="BodyText"/>
        <w:ind w:left="111"/>
        <w:rPr>
          <w:b/>
        </w:rPr>
      </w:pPr>
    </w:p>
    <w:p w14:paraId="69BBE6C0" w14:textId="77777777" w:rsidR="003A0C8D" w:rsidRDefault="003A0C8D" w:rsidP="003A0C8D">
      <w:pPr>
        <w:pStyle w:val="BodyText"/>
        <w:ind w:left="111"/>
      </w:pPr>
      <w:r>
        <w:rPr>
          <w:b/>
        </w:rPr>
        <w:t xml:space="preserve">Jacobs JW, Horstman E, </w:t>
      </w:r>
      <w:r>
        <w:t>Gisriel SD, Tormey CA, Sostin N. Incidental discovery of a patient with the Bombay phenotype. Lab Med 2023;</w:t>
      </w:r>
      <w:proofErr w:type="gramStart"/>
      <w:r>
        <w:t>54:e</w:t>
      </w:r>
      <w:proofErr w:type="gramEnd"/>
      <w:r>
        <w:t>14-e17.</w:t>
      </w:r>
    </w:p>
    <w:p w14:paraId="4BFE159F" w14:textId="77777777" w:rsidR="003A0C8D" w:rsidRDefault="003A0C8D" w:rsidP="00310560">
      <w:pPr>
        <w:pStyle w:val="BodyText"/>
        <w:ind w:left="111"/>
        <w:rPr>
          <w:b/>
        </w:rPr>
      </w:pPr>
    </w:p>
    <w:p w14:paraId="568E1D4E" w14:textId="56B5E253" w:rsidR="00EA06F7" w:rsidRDefault="00EA06F7" w:rsidP="00310560">
      <w:pPr>
        <w:pStyle w:val="BodyText"/>
        <w:ind w:left="111"/>
      </w:pPr>
      <w:r>
        <w:rPr>
          <w:b/>
        </w:rPr>
        <w:t>Jacobs JW, Guarente J</w:t>
      </w:r>
      <w:r>
        <w:t xml:space="preserve">, </w:t>
      </w:r>
      <w:proofErr w:type="spellStart"/>
      <w:r>
        <w:t>Chooljian</w:t>
      </w:r>
      <w:proofErr w:type="spellEnd"/>
      <w:r>
        <w:t xml:space="preserve"> DM, Booth GS, Adkins BD. Liquid biopsies in blood donors: issue in implementing cell-free DNA cancer screening tests in the blood donor population. Am J </w:t>
      </w:r>
      <w:proofErr w:type="spellStart"/>
      <w:r>
        <w:t>Hematol</w:t>
      </w:r>
      <w:proofErr w:type="spellEnd"/>
      <w:r>
        <w:t xml:space="preserve"> 2022;</w:t>
      </w:r>
      <w:proofErr w:type="gramStart"/>
      <w:r>
        <w:t>97:e</w:t>
      </w:r>
      <w:proofErr w:type="gramEnd"/>
      <w:r>
        <w:t>454-e456.</w:t>
      </w:r>
    </w:p>
    <w:p w14:paraId="1AB8771A" w14:textId="63B5788C" w:rsidR="003A0C8D" w:rsidRDefault="003A0C8D" w:rsidP="00310560">
      <w:pPr>
        <w:pStyle w:val="BodyText"/>
        <w:ind w:left="111"/>
      </w:pPr>
    </w:p>
    <w:p w14:paraId="5B130F6C" w14:textId="2DBB4F59" w:rsidR="003A0C8D" w:rsidRDefault="003A0C8D" w:rsidP="00310560">
      <w:pPr>
        <w:pStyle w:val="BodyText"/>
        <w:ind w:left="111"/>
      </w:pPr>
      <w:r w:rsidRPr="003A0C8D">
        <w:rPr>
          <w:b/>
        </w:rPr>
        <w:t>Horstman EE</w:t>
      </w:r>
      <w:r>
        <w:t xml:space="preserve">, Tormey CA. Plasma products for transfusion: an overview. Ann Blood </w:t>
      </w:r>
      <w:proofErr w:type="gramStart"/>
      <w:r>
        <w:t>2022;7:4</w:t>
      </w:r>
      <w:proofErr w:type="gramEnd"/>
      <w:r>
        <w:t>.</w:t>
      </w:r>
    </w:p>
    <w:p w14:paraId="05DFE101" w14:textId="77777777" w:rsidR="004B4EA1" w:rsidRPr="00EA06F7" w:rsidRDefault="004B4EA1" w:rsidP="00310560">
      <w:pPr>
        <w:pStyle w:val="BodyText"/>
        <w:ind w:left="111"/>
      </w:pPr>
    </w:p>
    <w:p w14:paraId="5EF0DF68" w14:textId="25071B0B" w:rsidR="00EA06F7" w:rsidRPr="00EA06F7" w:rsidRDefault="00EA06F7" w:rsidP="00310560">
      <w:pPr>
        <w:pStyle w:val="BodyText"/>
        <w:ind w:left="111"/>
      </w:pPr>
      <w:r>
        <w:rPr>
          <w:b/>
        </w:rPr>
        <w:t>Rodriguez JV</w:t>
      </w:r>
      <w:r>
        <w:t xml:space="preserve">, Tormey CA. Can transfusion-associated graft-versus-host disease (TA-GvHD) be prevented with leukoreduction alone? </w:t>
      </w:r>
      <w:proofErr w:type="spellStart"/>
      <w:r>
        <w:t>Transfus</w:t>
      </w:r>
      <w:proofErr w:type="spellEnd"/>
      <w:r>
        <w:t xml:space="preserve"> </w:t>
      </w:r>
      <w:proofErr w:type="spellStart"/>
      <w:r>
        <w:t>Apher</w:t>
      </w:r>
      <w:proofErr w:type="spellEnd"/>
      <w:r>
        <w:t xml:space="preserve"> Sci </w:t>
      </w:r>
      <w:proofErr w:type="gramStart"/>
      <w:r>
        <w:t>2022;61:103402</w:t>
      </w:r>
      <w:proofErr w:type="gramEnd"/>
      <w:r>
        <w:t>.</w:t>
      </w:r>
    </w:p>
    <w:p w14:paraId="7232DBB3" w14:textId="77777777" w:rsidR="00EA06F7" w:rsidRDefault="00EA06F7" w:rsidP="00310560">
      <w:pPr>
        <w:pStyle w:val="BodyText"/>
        <w:ind w:left="111"/>
        <w:rPr>
          <w:b/>
        </w:rPr>
      </w:pPr>
    </w:p>
    <w:p w14:paraId="25075785" w14:textId="1057E931" w:rsidR="00EA06F7" w:rsidRDefault="00EA06F7" w:rsidP="00310560">
      <w:pPr>
        <w:pStyle w:val="BodyText"/>
        <w:ind w:left="111"/>
      </w:pPr>
      <w:r>
        <w:rPr>
          <w:b/>
        </w:rPr>
        <w:t>Rodriguez JV</w:t>
      </w:r>
      <w:r>
        <w:t xml:space="preserve">, Tormey CA. Procuring rare Japanese red blood cell units for a bleeding patient with anti-K11 requiring a life-saving procedure. Immunohematology </w:t>
      </w:r>
      <w:proofErr w:type="gramStart"/>
      <w:r>
        <w:t>2022;38:96</w:t>
      </w:r>
      <w:proofErr w:type="gramEnd"/>
      <w:r>
        <w:t>-99.</w:t>
      </w:r>
    </w:p>
    <w:p w14:paraId="1799AEC8" w14:textId="7DD2E80C" w:rsidR="00EA06F7" w:rsidRDefault="00EA06F7" w:rsidP="00310560">
      <w:pPr>
        <w:pStyle w:val="BodyText"/>
        <w:ind w:left="111"/>
      </w:pPr>
    </w:p>
    <w:p w14:paraId="1F1D19CF" w14:textId="5B225813" w:rsidR="00EA06F7" w:rsidRPr="00EA06F7" w:rsidRDefault="00EA06F7" w:rsidP="00310560">
      <w:pPr>
        <w:pStyle w:val="BodyText"/>
        <w:ind w:left="111"/>
      </w:pPr>
      <w:r w:rsidRPr="00EA06F7">
        <w:rPr>
          <w:b/>
        </w:rPr>
        <w:t>Jacobs JW, Guarente J</w:t>
      </w:r>
      <w:r>
        <w:t xml:space="preserve">, Hendrickson JE, Tormey CA, Bar N. Autologous hematopoietic stem cell product contaminated with Salmonella due to occult salmonellosis in an asymptomatic donor. J Clin </w:t>
      </w:r>
      <w:proofErr w:type="spellStart"/>
      <w:r>
        <w:t>Apher</w:t>
      </w:r>
      <w:proofErr w:type="spellEnd"/>
      <w:r>
        <w:t xml:space="preserve"> </w:t>
      </w:r>
      <w:proofErr w:type="gramStart"/>
      <w:r>
        <w:t>2022;37:316</w:t>
      </w:r>
      <w:proofErr w:type="gramEnd"/>
      <w:r>
        <w:t>-319.</w:t>
      </w:r>
    </w:p>
    <w:p w14:paraId="3848629F" w14:textId="77777777" w:rsidR="00EA06F7" w:rsidRDefault="00EA06F7" w:rsidP="00310560">
      <w:pPr>
        <w:pStyle w:val="BodyText"/>
        <w:ind w:left="111"/>
        <w:rPr>
          <w:b/>
        </w:rPr>
      </w:pPr>
    </w:p>
    <w:p w14:paraId="09D81F8A" w14:textId="25B55346" w:rsidR="00291AE4" w:rsidRPr="00291AE4" w:rsidRDefault="00291AE4" w:rsidP="00310560">
      <w:pPr>
        <w:pStyle w:val="BodyText"/>
        <w:ind w:left="111"/>
      </w:pPr>
      <w:r>
        <w:rPr>
          <w:b/>
        </w:rPr>
        <w:t>Olsen GM</w:t>
      </w:r>
      <w:r>
        <w:t xml:space="preserve">, Rinder HM, Tormey CA. De novo acquired hemophilia as an immune dysregulation phenomenon following SARS-CoV-2 infection. Transfusion </w:t>
      </w:r>
      <w:proofErr w:type="gramStart"/>
      <w:r>
        <w:t>2021;61:989</w:t>
      </w:r>
      <w:proofErr w:type="gramEnd"/>
      <w:r>
        <w:t>-991.</w:t>
      </w:r>
    </w:p>
    <w:p w14:paraId="5582C33D" w14:textId="77777777" w:rsidR="00291AE4" w:rsidRDefault="00291AE4" w:rsidP="00310560">
      <w:pPr>
        <w:pStyle w:val="BodyText"/>
        <w:ind w:left="111"/>
        <w:rPr>
          <w:b/>
        </w:rPr>
      </w:pPr>
    </w:p>
    <w:p w14:paraId="2E3E263A" w14:textId="433EA668" w:rsidR="00291AE4" w:rsidRDefault="00291AE4" w:rsidP="00310560">
      <w:pPr>
        <w:pStyle w:val="BodyText"/>
        <w:ind w:left="111"/>
        <w:rPr>
          <w:b/>
        </w:rPr>
      </w:pPr>
      <w:r w:rsidRPr="00291AE4">
        <w:rPr>
          <w:b/>
        </w:rPr>
        <w:t xml:space="preserve">Stendahl K, </w:t>
      </w:r>
      <w:r w:rsidRPr="00291AE4">
        <w:t xml:space="preserve">Siddon AJ, </w:t>
      </w:r>
      <w:proofErr w:type="spellStart"/>
      <w:r w:rsidRPr="00291AE4">
        <w:t>Peaper</w:t>
      </w:r>
      <w:proofErr w:type="spellEnd"/>
      <w:r w:rsidRPr="00291AE4">
        <w:t xml:space="preserve"> DR, Hauser RG, Campbell S, Tormey CA.</w:t>
      </w:r>
      <w:r>
        <w:t xml:space="preserve"> The development and implementation of a novel electronic consult system by a laboratory medicine service: experience </w:t>
      </w:r>
      <w:r>
        <w:lastRenderedPageBreak/>
        <w:t xml:space="preserve">from the first 2 years of use. Arch </w:t>
      </w:r>
      <w:proofErr w:type="spellStart"/>
      <w:r>
        <w:t>Pathol</w:t>
      </w:r>
      <w:proofErr w:type="spellEnd"/>
      <w:r>
        <w:t xml:space="preserve"> Lab Med </w:t>
      </w:r>
      <w:proofErr w:type="gramStart"/>
      <w:r>
        <w:t>2021;145:75</w:t>
      </w:r>
      <w:proofErr w:type="gramEnd"/>
      <w:r>
        <w:t>-81.</w:t>
      </w:r>
    </w:p>
    <w:p w14:paraId="2D96AE6F" w14:textId="77777777" w:rsidR="00291AE4" w:rsidRDefault="00291AE4" w:rsidP="00310560">
      <w:pPr>
        <w:pStyle w:val="BodyText"/>
        <w:ind w:left="111"/>
        <w:rPr>
          <w:b/>
        </w:rPr>
      </w:pPr>
    </w:p>
    <w:p w14:paraId="02FA250D" w14:textId="74139060" w:rsidR="00310560" w:rsidRDefault="00310560" w:rsidP="00310560">
      <w:pPr>
        <w:pStyle w:val="BodyText"/>
        <w:ind w:left="111"/>
      </w:pPr>
      <w:r w:rsidRPr="00310560">
        <w:rPr>
          <w:b/>
        </w:rPr>
        <w:t>Gupta GK</w:t>
      </w:r>
      <w:r>
        <w:t xml:space="preserve">, Hendrickson JE, </w:t>
      </w:r>
      <w:proofErr w:type="spellStart"/>
      <w:r>
        <w:t>Bahel</w:t>
      </w:r>
      <w:proofErr w:type="spellEnd"/>
      <w:r>
        <w:t xml:space="preserve"> P, Siddon AJ, Rinder HM, Tormey CA. Factor V activity in apheresis platelets: implications for management of FV deficiency. Transfusion </w:t>
      </w:r>
      <w:proofErr w:type="gramStart"/>
      <w:r w:rsidR="00291AE4">
        <w:t>2021;61:405</w:t>
      </w:r>
      <w:proofErr w:type="gramEnd"/>
      <w:r w:rsidR="00291AE4">
        <w:t>-409.</w:t>
      </w:r>
    </w:p>
    <w:p w14:paraId="516C1C25" w14:textId="77777777" w:rsidR="00310560" w:rsidRDefault="00310560" w:rsidP="00310560">
      <w:pPr>
        <w:pStyle w:val="BodyText"/>
        <w:ind w:left="111"/>
      </w:pPr>
    </w:p>
    <w:p w14:paraId="4D07CEB4" w14:textId="5BBB34A3" w:rsidR="00310560" w:rsidRDefault="00310560" w:rsidP="00310560">
      <w:pPr>
        <w:pStyle w:val="BodyText"/>
        <w:ind w:left="111"/>
      </w:pPr>
      <w:r w:rsidRPr="00310560">
        <w:rPr>
          <w:b/>
        </w:rPr>
        <w:t>Gupta GK</w:t>
      </w:r>
      <w:r>
        <w:t xml:space="preserve">, Balbuena-Merle R, Hendrickson JE, Tormey CA. Immunohematologic aspects of alloimmunization and alloantibody detection: a focus on pregnancy and hemolytic disease of the fetus and newborn. </w:t>
      </w:r>
      <w:proofErr w:type="spellStart"/>
      <w:r>
        <w:t>Transfus</w:t>
      </w:r>
      <w:proofErr w:type="spellEnd"/>
      <w:r>
        <w:t xml:space="preserve"> </w:t>
      </w:r>
      <w:proofErr w:type="spellStart"/>
      <w:r>
        <w:t>Apher</w:t>
      </w:r>
      <w:proofErr w:type="spellEnd"/>
      <w:r>
        <w:t xml:space="preserve"> Sci </w:t>
      </w:r>
      <w:proofErr w:type="gramStart"/>
      <w:r w:rsidR="00291AE4">
        <w:t>2021;60:103069</w:t>
      </w:r>
      <w:proofErr w:type="gramEnd"/>
    </w:p>
    <w:p w14:paraId="7EF948A0" w14:textId="77777777" w:rsidR="00291AE4" w:rsidRDefault="00291AE4" w:rsidP="00310560">
      <w:pPr>
        <w:pStyle w:val="BodyText"/>
        <w:ind w:left="111"/>
      </w:pPr>
    </w:p>
    <w:p w14:paraId="3F91AD47" w14:textId="52274DE7" w:rsidR="00310560" w:rsidRDefault="00310560" w:rsidP="00310560">
      <w:pPr>
        <w:pStyle w:val="BodyText"/>
        <w:ind w:left="111"/>
      </w:pPr>
      <w:proofErr w:type="spellStart"/>
      <w:r w:rsidRPr="00310560">
        <w:t>Maracaja</w:t>
      </w:r>
      <w:proofErr w:type="spellEnd"/>
      <w:r w:rsidRPr="00310560">
        <w:t xml:space="preserve"> L, Blitz D, </w:t>
      </w:r>
      <w:proofErr w:type="spellStart"/>
      <w:r w:rsidRPr="00310560">
        <w:rPr>
          <w:b/>
        </w:rPr>
        <w:t>Maracaja</w:t>
      </w:r>
      <w:proofErr w:type="spellEnd"/>
      <w:r w:rsidRPr="00310560">
        <w:rPr>
          <w:b/>
        </w:rPr>
        <w:t xml:space="preserve"> DLV</w:t>
      </w:r>
      <w:r w:rsidRPr="00310560">
        <w:t>, Walker CA.</w:t>
      </w:r>
      <w:r>
        <w:t xml:space="preserve"> </w:t>
      </w:r>
      <w:r w:rsidRPr="00310560">
        <w:t xml:space="preserve">How 3D </w:t>
      </w:r>
      <w:r>
        <w:t>p</w:t>
      </w:r>
      <w:r w:rsidRPr="00310560">
        <w:t xml:space="preserve">rinting </w:t>
      </w:r>
      <w:r>
        <w:t>c</w:t>
      </w:r>
      <w:r w:rsidRPr="00310560">
        <w:t xml:space="preserve">an </w:t>
      </w:r>
      <w:r>
        <w:t>p</w:t>
      </w:r>
      <w:r w:rsidRPr="00310560">
        <w:t xml:space="preserve">revent </w:t>
      </w:r>
      <w:r>
        <w:t>s</w:t>
      </w:r>
      <w:r w:rsidRPr="00310560">
        <w:t xml:space="preserve">pread of COVID-19 </w:t>
      </w:r>
      <w:r>
        <w:t>a</w:t>
      </w:r>
      <w:r w:rsidRPr="00310560">
        <w:t xml:space="preserve">mong </w:t>
      </w:r>
      <w:r>
        <w:t>h</w:t>
      </w:r>
      <w:r w:rsidRPr="00310560">
        <w:t xml:space="preserve">ealthcare </w:t>
      </w:r>
      <w:r>
        <w:t>p</w:t>
      </w:r>
      <w:r w:rsidRPr="00310560">
        <w:t xml:space="preserve">rofessionals </w:t>
      </w:r>
      <w:r>
        <w:t>d</w:t>
      </w:r>
      <w:r w:rsidRPr="00310560">
        <w:t xml:space="preserve">uring </w:t>
      </w:r>
      <w:r>
        <w:t>t</w:t>
      </w:r>
      <w:r w:rsidRPr="00310560">
        <w:t xml:space="preserve">imes of </w:t>
      </w:r>
      <w:r>
        <w:t>c</w:t>
      </w:r>
      <w:r w:rsidRPr="00310560">
        <w:t xml:space="preserve">ritical </w:t>
      </w:r>
      <w:r>
        <w:t>s</w:t>
      </w:r>
      <w:r w:rsidRPr="00310560">
        <w:t xml:space="preserve">hortage of </w:t>
      </w:r>
      <w:r>
        <w:t>p</w:t>
      </w:r>
      <w:r w:rsidRPr="00310560">
        <w:t xml:space="preserve">rotective </w:t>
      </w:r>
      <w:r>
        <w:t>personal e</w:t>
      </w:r>
      <w:r w:rsidRPr="00310560">
        <w:t>quipment</w:t>
      </w:r>
      <w:r>
        <w:t xml:space="preserve">. J </w:t>
      </w:r>
      <w:proofErr w:type="spellStart"/>
      <w:r>
        <w:t>Cardiothorac</w:t>
      </w:r>
      <w:proofErr w:type="spellEnd"/>
      <w:r>
        <w:t xml:space="preserve"> </w:t>
      </w:r>
      <w:proofErr w:type="spellStart"/>
      <w:r>
        <w:t>Vasc</w:t>
      </w:r>
      <w:proofErr w:type="spellEnd"/>
      <w:r>
        <w:t xml:space="preserve"> </w:t>
      </w:r>
      <w:proofErr w:type="spellStart"/>
      <w:r>
        <w:t>Anesth</w:t>
      </w:r>
      <w:proofErr w:type="spellEnd"/>
      <w:r>
        <w:t xml:space="preserve"> </w:t>
      </w:r>
      <w:proofErr w:type="gramStart"/>
      <w:r w:rsidR="00291AE4">
        <w:t>2020;34:2847</w:t>
      </w:r>
      <w:proofErr w:type="gramEnd"/>
      <w:r w:rsidR="00291AE4">
        <w:t>-2849.</w:t>
      </w:r>
    </w:p>
    <w:p w14:paraId="52B1471F" w14:textId="77777777" w:rsidR="00310560" w:rsidRDefault="00310560" w:rsidP="00310560">
      <w:pPr>
        <w:pStyle w:val="BodyText"/>
        <w:ind w:left="111"/>
      </w:pPr>
    </w:p>
    <w:p w14:paraId="7602514A" w14:textId="77777777" w:rsidR="00310560" w:rsidRDefault="00310560" w:rsidP="00310560">
      <w:pPr>
        <w:pStyle w:val="BodyText"/>
        <w:ind w:left="111"/>
      </w:pPr>
      <w:r w:rsidRPr="00310560">
        <w:rPr>
          <w:b/>
        </w:rPr>
        <w:t>Gupta GK</w:t>
      </w:r>
      <w:r>
        <w:t xml:space="preserve">, Hendrickson JE, Tormey CA. Application of PLASMIC score in prediction of ADAMTS13 deficiency in a pediatric case of acquired thrombotic thrombocytopenic purpura. J Clin </w:t>
      </w:r>
      <w:proofErr w:type="spellStart"/>
      <w:r>
        <w:t>Apher</w:t>
      </w:r>
      <w:proofErr w:type="spellEnd"/>
      <w:r>
        <w:t xml:space="preserve"> </w:t>
      </w:r>
      <w:proofErr w:type="gramStart"/>
      <w:r>
        <w:t>2020;35:140</w:t>
      </w:r>
      <w:proofErr w:type="gramEnd"/>
      <w:r>
        <w:t>-141.</w:t>
      </w:r>
    </w:p>
    <w:p w14:paraId="51F58CB3" w14:textId="77777777" w:rsidR="00310560" w:rsidRDefault="00310560" w:rsidP="00310560">
      <w:pPr>
        <w:pStyle w:val="BodyText"/>
        <w:ind w:left="111"/>
      </w:pPr>
    </w:p>
    <w:p w14:paraId="5423A2F1" w14:textId="77777777" w:rsidR="00310560" w:rsidRDefault="00310560" w:rsidP="00310560">
      <w:pPr>
        <w:pStyle w:val="BodyText"/>
        <w:ind w:left="111"/>
      </w:pPr>
      <w:r w:rsidRPr="00310560">
        <w:rPr>
          <w:b/>
        </w:rPr>
        <w:t>Sostin N</w:t>
      </w:r>
      <w:r>
        <w:t xml:space="preserve">, Ross R, Balbuena-Merle R, Hendrickson JE, Tormey CA. Passive anti-C acquired in the setting of Rh immune globulin administration following Rh mismatched apheresis platelet transfusion: a case series. J Clin </w:t>
      </w:r>
      <w:proofErr w:type="spellStart"/>
      <w:r>
        <w:t>Apher</w:t>
      </w:r>
      <w:proofErr w:type="spellEnd"/>
      <w:r>
        <w:t xml:space="preserve"> </w:t>
      </w:r>
      <w:proofErr w:type="gramStart"/>
      <w:r>
        <w:t>2020;35:224</w:t>
      </w:r>
      <w:proofErr w:type="gramEnd"/>
      <w:r>
        <w:t>-226.</w:t>
      </w:r>
    </w:p>
    <w:p w14:paraId="762ED150" w14:textId="77777777" w:rsidR="00310560" w:rsidRDefault="00310560" w:rsidP="00310560">
      <w:pPr>
        <w:pStyle w:val="BodyText"/>
        <w:ind w:left="111"/>
      </w:pPr>
    </w:p>
    <w:p w14:paraId="7D20DB20" w14:textId="77777777" w:rsidR="00310560" w:rsidRDefault="00310560" w:rsidP="00310560">
      <w:pPr>
        <w:pStyle w:val="BodyText"/>
        <w:ind w:left="111"/>
      </w:pPr>
      <w:proofErr w:type="spellStart"/>
      <w:r w:rsidRPr="00310560">
        <w:rPr>
          <w:b/>
        </w:rPr>
        <w:t>Maracaja</w:t>
      </w:r>
      <w:proofErr w:type="spellEnd"/>
      <w:r w:rsidRPr="00310560">
        <w:rPr>
          <w:b/>
        </w:rPr>
        <w:t xml:space="preserve"> DLV</w:t>
      </w:r>
      <w:r>
        <w:t xml:space="preserve">, Rinder H. Spontaneous resolution of transient abnormal myelopoiesis between 34 and 40 </w:t>
      </w:r>
      <w:proofErr w:type="spellStart"/>
      <w:r>
        <w:t>weeks</w:t>
      </w:r>
      <w:proofErr w:type="spellEnd"/>
      <w:r>
        <w:t xml:space="preserve"> gestation. Br J </w:t>
      </w:r>
      <w:proofErr w:type="spellStart"/>
      <w:r>
        <w:t>Haematol</w:t>
      </w:r>
      <w:proofErr w:type="spellEnd"/>
      <w:r>
        <w:t xml:space="preserve"> </w:t>
      </w:r>
      <w:proofErr w:type="gramStart"/>
      <w:r>
        <w:t>2020;188:481</w:t>
      </w:r>
      <w:proofErr w:type="gramEnd"/>
      <w:r>
        <w:t>.</w:t>
      </w:r>
    </w:p>
    <w:p w14:paraId="70835E92" w14:textId="77777777" w:rsidR="00310560" w:rsidRDefault="00310560" w:rsidP="00310560">
      <w:pPr>
        <w:pStyle w:val="BodyText"/>
        <w:ind w:left="111"/>
      </w:pPr>
    </w:p>
    <w:p w14:paraId="7AD0024B" w14:textId="77777777" w:rsidR="00310560" w:rsidRDefault="00310560" w:rsidP="00310560">
      <w:pPr>
        <w:pStyle w:val="BodyText"/>
        <w:ind w:left="111"/>
      </w:pPr>
      <w:proofErr w:type="spellStart"/>
      <w:r w:rsidRPr="00310560">
        <w:t>Maracaja</w:t>
      </w:r>
      <w:proofErr w:type="spellEnd"/>
      <w:r w:rsidRPr="00310560">
        <w:t xml:space="preserve"> L, Blitz D, </w:t>
      </w:r>
      <w:proofErr w:type="spellStart"/>
      <w:r w:rsidRPr="00310560">
        <w:rPr>
          <w:b/>
        </w:rPr>
        <w:t>Maracaja</w:t>
      </w:r>
      <w:proofErr w:type="spellEnd"/>
      <w:r w:rsidRPr="00310560">
        <w:rPr>
          <w:b/>
        </w:rPr>
        <w:t xml:space="preserve"> DLV</w:t>
      </w:r>
      <w:r w:rsidRPr="00310560">
        <w:t xml:space="preserve">, Walker C, </w:t>
      </w:r>
      <w:proofErr w:type="spellStart"/>
      <w:r w:rsidRPr="00310560">
        <w:t>Freudzon</w:t>
      </w:r>
      <w:proofErr w:type="spellEnd"/>
      <w:r w:rsidRPr="00310560">
        <w:t xml:space="preserve"> L.</w:t>
      </w:r>
      <w:r>
        <w:t xml:space="preserve"> </w:t>
      </w:r>
      <w:r w:rsidRPr="00310560">
        <w:t xml:space="preserve">One </w:t>
      </w:r>
      <w:r>
        <w:t>h</w:t>
      </w:r>
      <w:r w:rsidRPr="00310560">
        <w:t xml:space="preserve">and and </w:t>
      </w:r>
      <w:r>
        <w:t>o</w:t>
      </w:r>
      <w:r w:rsidRPr="00310560">
        <w:t xml:space="preserve">ne </w:t>
      </w:r>
      <w:r>
        <w:t>e</w:t>
      </w:r>
      <w:r w:rsidRPr="00310560">
        <w:t xml:space="preserve">yesight </w:t>
      </w:r>
      <w:r>
        <w:t>r</w:t>
      </w:r>
      <w:r w:rsidRPr="00310560">
        <w:t>eal-</w:t>
      </w:r>
      <w:r>
        <w:t>t</w:t>
      </w:r>
      <w:r w:rsidRPr="00310560">
        <w:t xml:space="preserve">ime </w:t>
      </w:r>
      <w:r>
        <w:t>u</w:t>
      </w:r>
      <w:r w:rsidRPr="00310560">
        <w:t xml:space="preserve">ltrasound </w:t>
      </w:r>
      <w:r>
        <w:t>g</w:t>
      </w:r>
      <w:r w:rsidRPr="00310560">
        <w:t xml:space="preserve">uidance: </w:t>
      </w:r>
      <w:r>
        <w:t>t</w:t>
      </w:r>
      <w:r w:rsidRPr="00310560">
        <w:t xml:space="preserve">he </w:t>
      </w:r>
      <w:r>
        <w:t>u</w:t>
      </w:r>
      <w:r w:rsidRPr="00310560">
        <w:t xml:space="preserve">se of CAD </w:t>
      </w:r>
      <w:r>
        <w:t>d</w:t>
      </w:r>
      <w:r w:rsidRPr="00310560">
        <w:t xml:space="preserve">esign and 3D </w:t>
      </w:r>
      <w:r>
        <w:t>p</w:t>
      </w:r>
      <w:r w:rsidRPr="00310560">
        <w:t xml:space="preserve">rinting for </w:t>
      </w:r>
      <w:r>
        <w:t>d</w:t>
      </w:r>
      <w:r w:rsidRPr="00310560">
        <w:t xml:space="preserve">evelopment of </w:t>
      </w:r>
      <w:r>
        <w:t>n</w:t>
      </w:r>
      <w:r w:rsidRPr="00310560">
        <w:t xml:space="preserve">ew </w:t>
      </w:r>
      <w:r>
        <w:t>t</w:t>
      </w:r>
      <w:r w:rsidRPr="00310560">
        <w:t xml:space="preserve">ools to </w:t>
      </w:r>
      <w:r>
        <w:t>i</w:t>
      </w:r>
      <w:r w:rsidRPr="00310560">
        <w:t xml:space="preserve">mprove </w:t>
      </w:r>
      <w:r>
        <w:t>v</w:t>
      </w:r>
      <w:r w:rsidRPr="00310560">
        <w:t xml:space="preserve">ascular </w:t>
      </w:r>
      <w:r>
        <w:t>a</w:t>
      </w:r>
      <w:r w:rsidRPr="00310560">
        <w:t>ccess</w:t>
      </w:r>
      <w:r>
        <w:t xml:space="preserve">. J </w:t>
      </w:r>
      <w:proofErr w:type="spellStart"/>
      <w:r>
        <w:t>Cardiothorac</w:t>
      </w:r>
      <w:proofErr w:type="spellEnd"/>
      <w:r>
        <w:t xml:space="preserve"> </w:t>
      </w:r>
      <w:proofErr w:type="spellStart"/>
      <w:r>
        <w:t>Vasc</w:t>
      </w:r>
      <w:proofErr w:type="spellEnd"/>
      <w:r>
        <w:t xml:space="preserve"> </w:t>
      </w:r>
      <w:proofErr w:type="spellStart"/>
      <w:r>
        <w:t>Anesth</w:t>
      </w:r>
      <w:proofErr w:type="spellEnd"/>
      <w:r>
        <w:t xml:space="preserve"> </w:t>
      </w:r>
      <w:proofErr w:type="gramStart"/>
      <w:r>
        <w:t>2020;34:2136</w:t>
      </w:r>
      <w:proofErr w:type="gramEnd"/>
      <w:r>
        <w:t>-2139.</w:t>
      </w:r>
    </w:p>
    <w:p w14:paraId="18F4EFCF" w14:textId="77777777" w:rsidR="00310560" w:rsidRDefault="00310560" w:rsidP="00310560">
      <w:pPr>
        <w:pStyle w:val="BodyText"/>
        <w:ind w:left="111"/>
      </w:pPr>
    </w:p>
    <w:p w14:paraId="07A095B8" w14:textId="77777777" w:rsidR="0082037A" w:rsidRDefault="00DA4102" w:rsidP="00310560">
      <w:pPr>
        <w:pStyle w:val="BodyText"/>
        <w:ind w:left="111"/>
      </w:pPr>
      <w:proofErr w:type="spellStart"/>
      <w:r>
        <w:t>Gehrie</w:t>
      </w:r>
      <w:proofErr w:type="spellEnd"/>
      <w:r>
        <w:t xml:space="preserve"> EA, </w:t>
      </w:r>
      <w:r w:rsidRPr="00310560">
        <w:rPr>
          <w:b/>
        </w:rPr>
        <w:t>Rutter SJ</w:t>
      </w:r>
      <w:r>
        <w:t xml:space="preserve">, Snyder EL. Pathogen reduction: the state of the science in 2019. </w:t>
      </w:r>
      <w:proofErr w:type="spellStart"/>
      <w:r>
        <w:t>Hematol</w:t>
      </w:r>
      <w:proofErr w:type="spellEnd"/>
      <w:r>
        <w:t xml:space="preserve"> Oncol Clin North Am </w:t>
      </w:r>
      <w:proofErr w:type="gramStart"/>
      <w:r>
        <w:t>2019;33:749</w:t>
      </w:r>
      <w:proofErr w:type="gramEnd"/>
      <w:r>
        <w:t>-766.</w:t>
      </w:r>
    </w:p>
    <w:p w14:paraId="369C6C31" w14:textId="77777777" w:rsidR="0082037A" w:rsidRDefault="0082037A" w:rsidP="00310560">
      <w:pPr>
        <w:pStyle w:val="BodyText"/>
        <w:rPr>
          <w:sz w:val="23"/>
        </w:rPr>
      </w:pPr>
    </w:p>
    <w:p w14:paraId="29EF5E0E" w14:textId="77777777" w:rsidR="0082037A" w:rsidRDefault="00DA4102" w:rsidP="00310560">
      <w:pPr>
        <w:pStyle w:val="BodyText"/>
        <w:ind w:left="111" w:right="152"/>
      </w:pPr>
      <w:r>
        <w:t xml:space="preserve">Atreya C, Glynn S, Busch M, Kleinman S, Snyder E, </w:t>
      </w:r>
      <w:r w:rsidRPr="00310560">
        <w:rPr>
          <w:b/>
        </w:rPr>
        <w:t>Rutter S</w:t>
      </w:r>
      <w:r>
        <w:t xml:space="preserve">, AuBuchon J, Flegel W, Reeve D, Devine D, Cohn C, Custer B, Goodrich R, Benjamin RJ, </w:t>
      </w:r>
      <w:proofErr w:type="spellStart"/>
      <w:r>
        <w:t>Razatos</w:t>
      </w:r>
      <w:proofErr w:type="spellEnd"/>
      <w:r>
        <w:t xml:space="preserve"> A, Cancelas J, Wagner S, Maclean M, Gelderman M, Cap A, Ness P. Proceedings of the Food and Drug Administration public workshop on pathogen reduction technologies for blood safety 2018. Transfusion 2019; 59:3002-3025.</w:t>
      </w:r>
    </w:p>
    <w:p w14:paraId="5EF81926" w14:textId="77777777" w:rsidR="0082037A" w:rsidRDefault="0082037A" w:rsidP="00310560">
      <w:pPr>
        <w:pStyle w:val="BodyText"/>
        <w:rPr>
          <w:sz w:val="23"/>
        </w:rPr>
      </w:pPr>
    </w:p>
    <w:p w14:paraId="6EE9AD61" w14:textId="77777777" w:rsidR="0082037A" w:rsidRDefault="00DA4102" w:rsidP="00310560">
      <w:pPr>
        <w:pStyle w:val="BodyText"/>
        <w:ind w:left="111" w:right="921"/>
      </w:pPr>
      <w:r w:rsidRPr="00310560">
        <w:rPr>
          <w:b/>
        </w:rPr>
        <w:t>Baine I</w:t>
      </w:r>
      <w:r>
        <w:t xml:space="preserve">, Bahar B, Hendrickson JE, Hudson KE, Tormey CA. Microbial pathogen primary sequence inversely correlates with blood group antigen immunogenicity. Transfusion </w:t>
      </w:r>
      <w:proofErr w:type="gramStart"/>
      <w:r>
        <w:t>2019;59:1651</w:t>
      </w:r>
      <w:proofErr w:type="gramEnd"/>
      <w:r>
        <w:t>-1656.</w:t>
      </w:r>
    </w:p>
    <w:p w14:paraId="15AD55A1" w14:textId="77777777" w:rsidR="0082037A" w:rsidRDefault="0082037A" w:rsidP="00310560">
      <w:pPr>
        <w:pStyle w:val="BodyText"/>
        <w:rPr>
          <w:sz w:val="23"/>
        </w:rPr>
      </w:pPr>
    </w:p>
    <w:p w14:paraId="35BAD0D7" w14:textId="77777777" w:rsidR="0082037A" w:rsidRDefault="00DA4102" w:rsidP="00310560">
      <w:pPr>
        <w:pStyle w:val="BodyText"/>
        <w:ind w:left="111" w:right="474"/>
      </w:pPr>
      <w:r w:rsidRPr="00310560">
        <w:rPr>
          <w:b/>
        </w:rPr>
        <w:t>Baine I</w:t>
      </w:r>
      <w:r>
        <w:t xml:space="preserve">, Hui P. Practical applications of DNA genotyping in diagnostic pathology. Expert Rev Mol </w:t>
      </w:r>
      <w:proofErr w:type="spellStart"/>
      <w:r>
        <w:t>Diagn</w:t>
      </w:r>
      <w:proofErr w:type="spellEnd"/>
      <w:r>
        <w:t xml:space="preserve"> </w:t>
      </w:r>
      <w:proofErr w:type="gramStart"/>
      <w:r>
        <w:t>2019;19:175</w:t>
      </w:r>
      <w:proofErr w:type="gramEnd"/>
      <w:r>
        <w:t>-188.</w:t>
      </w:r>
    </w:p>
    <w:p w14:paraId="5AEA894B" w14:textId="77777777" w:rsidR="0082037A" w:rsidRDefault="0082037A" w:rsidP="00310560">
      <w:pPr>
        <w:pStyle w:val="BodyText"/>
        <w:rPr>
          <w:sz w:val="23"/>
        </w:rPr>
      </w:pPr>
    </w:p>
    <w:p w14:paraId="72A1DD22" w14:textId="77777777" w:rsidR="0082037A" w:rsidRDefault="00DA4102" w:rsidP="00310560">
      <w:pPr>
        <w:pStyle w:val="BodyText"/>
        <w:ind w:left="111" w:right="474"/>
      </w:pPr>
      <w:r w:rsidRPr="00310560">
        <w:rPr>
          <w:b/>
        </w:rPr>
        <w:t>Balbuena-Merle R</w:t>
      </w:r>
      <w:r>
        <w:t>, West FB, Tormey CA, Hendrickson JE. Fatal acute hemolytic transfusion reaction due to anti-B from a platelet apheresis unit stored in platelet additive solution.</w:t>
      </w:r>
      <w:r w:rsidR="00310560">
        <w:t xml:space="preserve"> </w:t>
      </w:r>
      <w:r>
        <w:t xml:space="preserve">Transfusion </w:t>
      </w:r>
      <w:proofErr w:type="gramStart"/>
      <w:r>
        <w:t>2019;59:1911</w:t>
      </w:r>
      <w:proofErr w:type="gramEnd"/>
      <w:r>
        <w:t>-1915.</w:t>
      </w:r>
    </w:p>
    <w:p w14:paraId="46AD47DA" w14:textId="77777777" w:rsidR="0082037A" w:rsidRDefault="0082037A" w:rsidP="00310560">
      <w:pPr>
        <w:pStyle w:val="BodyText"/>
        <w:rPr>
          <w:sz w:val="24"/>
        </w:rPr>
      </w:pPr>
    </w:p>
    <w:p w14:paraId="00AA629F" w14:textId="77777777" w:rsidR="0082037A" w:rsidRDefault="00DA4102" w:rsidP="00310560">
      <w:pPr>
        <w:pStyle w:val="BodyText"/>
        <w:ind w:left="111"/>
      </w:pPr>
      <w:r w:rsidRPr="00310560">
        <w:rPr>
          <w:b/>
        </w:rPr>
        <w:t>Balbuena-Merle R</w:t>
      </w:r>
      <w:r>
        <w:t xml:space="preserve">, Hendrickson JE. Red blood cell alloimmunization and delayed hemolytic transfusion reactions in patients with sickle cell disease. </w:t>
      </w:r>
      <w:proofErr w:type="spellStart"/>
      <w:r>
        <w:t>Transfus</w:t>
      </w:r>
      <w:proofErr w:type="spellEnd"/>
      <w:r>
        <w:t xml:space="preserve"> Clin Biol </w:t>
      </w:r>
      <w:proofErr w:type="gramStart"/>
      <w:r>
        <w:t>2019;26:112</w:t>
      </w:r>
      <w:proofErr w:type="gramEnd"/>
      <w:r>
        <w:t>-115.</w:t>
      </w:r>
    </w:p>
    <w:p w14:paraId="23961ADF" w14:textId="77777777" w:rsidR="0082037A" w:rsidRDefault="0082037A" w:rsidP="00310560">
      <w:pPr>
        <w:pStyle w:val="BodyText"/>
        <w:rPr>
          <w:sz w:val="23"/>
        </w:rPr>
      </w:pPr>
    </w:p>
    <w:p w14:paraId="50919DD3" w14:textId="77777777" w:rsidR="0082037A" w:rsidRDefault="00DA4102" w:rsidP="00310560">
      <w:pPr>
        <w:pStyle w:val="BodyText"/>
        <w:ind w:left="111"/>
      </w:pPr>
      <w:r w:rsidRPr="00310560">
        <w:rPr>
          <w:b/>
        </w:rPr>
        <w:t>Rutter S</w:t>
      </w:r>
      <w:r>
        <w:t xml:space="preserve">, Snyder EL. How do we … integrate pathogen reduced platelets into our hospital blood bank inventory? Transfusion </w:t>
      </w:r>
      <w:proofErr w:type="gramStart"/>
      <w:r>
        <w:t>2019;59:1628</w:t>
      </w:r>
      <w:proofErr w:type="gramEnd"/>
      <w:r>
        <w:t>-1636.</w:t>
      </w:r>
    </w:p>
    <w:p w14:paraId="7D60918F" w14:textId="77777777" w:rsidR="0082037A" w:rsidRDefault="0082037A" w:rsidP="00310560">
      <w:pPr>
        <w:pStyle w:val="BodyText"/>
        <w:rPr>
          <w:sz w:val="23"/>
        </w:rPr>
      </w:pPr>
    </w:p>
    <w:p w14:paraId="7CBD24AA" w14:textId="77777777" w:rsidR="0082037A" w:rsidRDefault="00DA4102" w:rsidP="00310560">
      <w:pPr>
        <w:pStyle w:val="BodyText"/>
        <w:ind w:left="111" w:right="152"/>
      </w:pPr>
      <w:proofErr w:type="spellStart"/>
      <w:r>
        <w:t>Glanternik</w:t>
      </w:r>
      <w:proofErr w:type="spellEnd"/>
      <w:r>
        <w:t xml:space="preserve"> JR, </w:t>
      </w:r>
      <w:r w:rsidRPr="00310560">
        <w:rPr>
          <w:b/>
        </w:rPr>
        <w:t>Baine IL</w:t>
      </w:r>
      <w:r>
        <w:t xml:space="preserve">, </w:t>
      </w:r>
      <w:proofErr w:type="spellStart"/>
      <w:r>
        <w:t>Rychalsky</w:t>
      </w:r>
      <w:proofErr w:type="spellEnd"/>
      <w:r>
        <w:t xml:space="preserve"> MR, Tormey CA, Shapiro ED, Baltimore RS. A Cluster of </w:t>
      </w:r>
      <w:r>
        <w:lastRenderedPageBreak/>
        <w:t xml:space="preserve">Cases of Babesia microti Among Neonates Traced to a Single Unit of Donor Blood. </w:t>
      </w:r>
      <w:proofErr w:type="spellStart"/>
      <w:r>
        <w:t>Pediatr</w:t>
      </w:r>
      <w:proofErr w:type="spellEnd"/>
      <w:r>
        <w:t xml:space="preserve"> Infect Dis J</w:t>
      </w:r>
      <w:r w:rsidR="00310560">
        <w:t xml:space="preserve"> </w:t>
      </w:r>
      <w:proofErr w:type="gramStart"/>
      <w:r>
        <w:t>2018;37:269</w:t>
      </w:r>
      <w:proofErr w:type="gramEnd"/>
      <w:r>
        <w:t>-271.</w:t>
      </w:r>
    </w:p>
    <w:p w14:paraId="7F348890" w14:textId="77777777" w:rsidR="0082037A" w:rsidRDefault="0082037A" w:rsidP="00310560">
      <w:pPr>
        <w:pStyle w:val="BodyText"/>
        <w:rPr>
          <w:sz w:val="24"/>
        </w:rPr>
      </w:pPr>
    </w:p>
    <w:p w14:paraId="1D67F16E" w14:textId="77777777" w:rsidR="0082037A" w:rsidRDefault="00DA4102" w:rsidP="00310560">
      <w:pPr>
        <w:pStyle w:val="BodyText"/>
        <w:ind w:left="111" w:right="152"/>
      </w:pPr>
      <w:r>
        <w:t xml:space="preserve">Dhruva SS, Ross JS, </w:t>
      </w:r>
      <w:r w:rsidRPr="00310560">
        <w:rPr>
          <w:b/>
        </w:rPr>
        <w:t>Schulz WL</w:t>
      </w:r>
      <w:r>
        <w:t xml:space="preserve">, Krumholz HM. Fulfilling the promise of unique device identifiers. Ann Intern Med </w:t>
      </w:r>
      <w:proofErr w:type="gramStart"/>
      <w:r>
        <w:t>2018;169:183</w:t>
      </w:r>
      <w:proofErr w:type="gramEnd"/>
      <w:r>
        <w:t>-185.</w:t>
      </w:r>
    </w:p>
    <w:p w14:paraId="37A5B8D7" w14:textId="77777777" w:rsidR="0082037A" w:rsidRDefault="0082037A" w:rsidP="00310560">
      <w:pPr>
        <w:pStyle w:val="BodyText"/>
        <w:rPr>
          <w:sz w:val="23"/>
        </w:rPr>
      </w:pPr>
    </w:p>
    <w:p w14:paraId="6BB0EC91" w14:textId="77777777" w:rsidR="0082037A" w:rsidRDefault="00DA4102" w:rsidP="00310560">
      <w:pPr>
        <w:pStyle w:val="BodyText"/>
        <w:ind w:left="111" w:right="155"/>
      </w:pPr>
      <w:r w:rsidRPr="00310560">
        <w:rPr>
          <w:b/>
        </w:rPr>
        <w:t>Bahar B</w:t>
      </w:r>
      <w:r>
        <w:t xml:space="preserve">, Tormey CA. Prevention of transfusion-associated graft-versus-host disease with blood product irradiation: The past, present, and future. Arch </w:t>
      </w:r>
      <w:proofErr w:type="spellStart"/>
      <w:r>
        <w:t>Pathol</w:t>
      </w:r>
      <w:proofErr w:type="spellEnd"/>
      <w:r>
        <w:t xml:space="preserve"> Lab Med </w:t>
      </w:r>
      <w:proofErr w:type="gramStart"/>
      <w:r>
        <w:t>2018;142:662</w:t>
      </w:r>
      <w:proofErr w:type="gramEnd"/>
      <w:r>
        <w:t>-667.</w:t>
      </w:r>
    </w:p>
    <w:p w14:paraId="7D70560E" w14:textId="77777777" w:rsidR="0082037A" w:rsidRDefault="0082037A" w:rsidP="00310560">
      <w:pPr>
        <w:pStyle w:val="BodyText"/>
        <w:rPr>
          <w:sz w:val="23"/>
        </w:rPr>
      </w:pPr>
    </w:p>
    <w:p w14:paraId="59A26021" w14:textId="77777777" w:rsidR="0082037A" w:rsidRDefault="00DA4102" w:rsidP="00310560">
      <w:pPr>
        <w:pStyle w:val="BodyText"/>
        <w:ind w:left="111" w:right="152"/>
      </w:pPr>
      <w:r w:rsidRPr="00310560">
        <w:rPr>
          <w:b/>
        </w:rPr>
        <w:t>Zheng Y</w:t>
      </w:r>
      <w:r>
        <w:t>, Pollak J, Henderson K, Hendrickson JE, Tormey CA. A novel association between high red blood cell alloimmunization rates and hereditary hemorrhagic telangiectasia.</w:t>
      </w:r>
    </w:p>
    <w:p w14:paraId="454EB45E" w14:textId="77777777" w:rsidR="0082037A" w:rsidRDefault="00DA4102" w:rsidP="00310560">
      <w:pPr>
        <w:pStyle w:val="BodyText"/>
        <w:ind w:left="111"/>
      </w:pPr>
      <w:r>
        <w:t xml:space="preserve">Transfusion </w:t>
      </w:r>
      <w:proofErr w:type="gramStart"/>
      <w:r>
        <w:t>2018;58:775</w:t>
      </w:r>
      <w:proofErr w:type="gramEnd"/>
      <w:r>
        <w:t>-780.</w:t>
      </w:r>
    </w:p>
    <w:p w14:paraId="776A66F1" w14:textId="77777777" w:rsidR="0082037A" w:rsidRDefault="0082037A" w:rsidP="00310560">
      <w:pPr>
        <w:pStyle w:val="BodyText"/>
        <w:rPr>
          <w:sz w:val="24"/>
        </w:rPr>
      </w:pPr>
    </w:p>
    <w:p w14:paraId="47FC21DD" w14:textId="77777777" w:rsidR="0082037A" w:rsidRDefault="00DA4102" w:rsidP="00310560">
      <w:pPr>
        <w:pStyle w:val="BodyText"/>
        <w:ind w:left="111" w:right="180"/>
      </w:pPr>
      <w:proofErr w:type="spellStart"/>
      <w:r>
        <w:t>Angraal</w:t>
      </w:r>
      <w:proofErr w:type="spellEnd"/>
      <w:r>
        <w:t xml:space="preserve"> S, Krumholz HM, </w:t>
      </w:r>
      <w:r w:rsidRPr="00310560">
        <w:rPr>
          <w:b/>
        </w:rPr>
        <w:t>Schulz WL</w:t>
      </w:r>
      <w:r>
        <w:t xml:space="preserve">. Blockchain </w:t>
      </w:r>
      <w:r w:rsidR="00310560">
        <w:t>t</w:t>
      </w:r>
      <w:r>
        <w:t xml:space="preserve">echnology: </w:t>
      </w:r>
      <w:r w:rsidR="00310560">
        <w:t>a</w:t>
      </w:r>
      <w:r>
        <w:t xml:space="preserve">pplications in </w:t>
      </w:r>
      <w:r w:rsidR="00310560">
        <w:t>h</w:t>
      </w:r>
      <w:r>
        <w:t xml:space="preserve">ealth </w:t>
      </w:r>
      <w:r w:rsidR="00310560">
        <w:t>c</w:t>
      </w:r>
      <w:r>
        <w:t xml:space="preserve">are. Circ Cardiovasc Qual Outcomes 2017;10 </w:t>
      </w:r>
      <w:proofErr w:type="spellStart"/>
      <w:r>
        <w:t>pii</w:t>
      </w:r>
      <w:proofErr w:type="spellEnd"/>
      <w:r>
        <w:t>: e003800.</w:t>
      </w:r>
    </w:p>
    <w:p w14:paraId="2EABEDEF" w14:textId="77777777" w:rsidR="0082037A" w:rsidRDefault="0082037A" w:rsidP="00310560">
      <w:pPr>
        <w:pStyle w:val="BodyText"/>
        <w:rPr>
          <w:sz w:val="23"/>
        </w:rPr>
      </w:pPr>
    </w:p>
    <w:p w14:paraId="14D3AAB7" w14:textId="77777777" w:rsidR="0082037A" w:rsidRDefault="00DA4102" w:rsidP="00310560">
      <w:pPr>
        <w:pStyle w:val="BodyText"/>
        <w:ind w:left="111" w:right="104"/>
        <w:jc w:val="both"/>
      </w:pPr>
      <w:r w:rsidRPr="00310560">
        <w:rPr>
          <w:b/>
        </w:rPr>
        <w:t>Gibb DR</w:t>
      </w:r>
      <w:r>
        <w:t xml:space="preserve">, Liu J, Santhanakrishnan M, Natarajan P, Madrid DJ, Patel S, Eisenbarth SC, Tormey CA, Stowell SR, Iwasaki A, Hendrickson JE. B cells require Type 1 interferon to produce alloantibodies to transfused KEL-expressing red blood cells in mice. Transfusion </w:t>
      </w:r>
      <w:proofErr w:type="gramStart"/>
      <w:r>
        <w:t>2017;57:2595</w:t>
      </w:r>
      <w:proofErr w:type="gramEnd"/>
      <w:r>
        <w:t>-2608.</w:t>
      </w:r>
    </w:p>
    <w:p w14:paraId="1748ED7F" w14:textId="77777777" w:rsidR="0082037A" w:rsidRDefault="0082037A" w:rsidP="00310560">
      <w:pPr>
        <w:pStyle w:val="BodyText"/>
        <w:rPr>
          <w:sz w:val="23"/>
        </w:rPr>
      </w:pPr>
    </w:p>
    <w:p w14:paraId="63CBF1C2" w14:textId="77777777" w:rsidR="00310560" w:rsidRDefault="00DA4102" w:rsidP="00310560">
      <w:pPr>
        <w:pStyle w:val="BodyText"/>
        <w:ind w:left="111"/>
      </w:pPr>
      <w:r>
        <w:t xml:space="preserve">Durant TJS, Olson EM, </w:t>
      </w:r>
      <w:r w:rsidRPr="00310560">
        <w:rPr>
          <w:b/>
        </w:rPr>
        <w:t>Schulz WL</w:t>
      </w:r>
      <w:r w:rsidR="00310560">
        <w:t>, Torres R. Very d</w:t>
      </w:r>
      <w:r>
        <w:t>eep</w:t>
      </w:r>
      <w:r w:rsidR="00310560">
        <w:t xml:space="preserve"> c</w:t>
      </w:r>
      <w:r>
        <w:t xml:space="preserve">onvolutional </w:t>
      </w:r>
      <w:r w:rsidR="00310560">
        <w:t>n</w:t>
      </w:r>
      <w:r>
        <w:t xml:space="preserve">eural </w:t>
      </w:r>
      <w:r w:rsidR="00310560">
        <w:t>n</w:t>
      </w:r>
      <w:r>
        <w:t xml:space="preserve">etworks for </w:t>
      </w:r>
      <w:r w:rsidR="00310560">
        <w:t>m</w:t>
      </w:r>
      <w:r>
        <w:t xml:space="preserve">orphologic </w:t>
      </w:r>
      <w:r w:rsidR="00310560">
        <w:t>c</w:t>
      </w:r>
      <w:r>
        <w:t xml:space="preserve">lassification of </w:t>
      </w:r>
      <w:r w:rsidR="00310560">
        <w:t>e</w:t>
      </w:r>
      <w:r>
        <w:t xml:space="preserve">rythrocytes. Clin Chem </w:t>
      </w:r>
      <w:proofErr w:type="gramStart"/>
      <w:r>
        <w:t>2017;63:1847</w:t>
      </w:r>
      <w:proofErr w:type="gramEnd"/>
      <w:r>
        <w:t>-55.</w:t>
      </w:r>
    </w:p>
    <w:p w14:paraId="22068A67" w14:textId="77777777" w:rsidR="00310560" w:rsidRDefault="00310560" w:rsidP="00310560">
      <w:pPr>
        <w:pStyle w:val="BodyText"/>
        <w:ind w:left="111"/>
      </w:pPr>
    </w:p>
    <w:p w14:paraId="6FF84C9C" w14:textId="77777777" w:rsidR="0082037A" w:rsidRDefault="00DA4102" w:rsidP="00310560">
      <w:pPr>
        <w:pStyle w:val="BodyText"/>
        <w:ind w:left="111"/>
      </w:pPr>
      <w:r w:rsidRPr="00310560">
        <w:rPr>
          <w:b/>
        </w:rPr>
        <w:t>Bahar B, Cheng C, Baine IL</w:t>
      </w:r>
      <w:r>
        <w:t xml:space="preserve">, Tormey CA. The perils of storing thawed cryoprecipitate in the refrigerator. Transfusion </w:t>
      </w:r>
      <w:proofErr w:type="gramStart"/>
      <w:r>
        <w:t>2017;57:2826</w:t>
      </w:r>
      <w:proofErr w:type="gramEnd"/>
      <w:r>
        <w:t>-7.</w:t>
      </w:r>
    </w:p>
    <w:p w14:paraId="239FE98B" w14:textId="77777777" w:rsidR="0082037A" w:rsidRDefault="0082037A" w:rsidP="00310560">
      <w:pPr>
        <w:pStyle w:val="BodyText"/>
        <w:rPr>
          <w:sz w:val="23"/>
        </w:rPr>
      </w:pPr>
    </w:p>
    <w:p w14:paraId="48CF507D" w14:textId="77777777" w:rsidR="0082037A" w:rsidRDefault="00DA4102" w:rsidP="00310560">
      <w:pPr>
        <w:pStyle w:val="BodyText"/>
        <w:ind w:left="100"/>
      </w:pPr>
      <w:r w:rsidRPr="00310560">
        <w:rPr>
          <w:b/>
        </w:rPr>
        <w:t>Gibb DR</w:t>
      </w:r>
      <w:r>
        <w:t xml:space="preserve">, Liu J, Natarajan P, Santhanakrishnan M, Madrid DJ, Eisenbarth SC, Zimring JC, Iwasaki A, Hendrickson JE. J Immunol </w:t>
      </w:r>
      <w:proofErr w:type="gramStart"/>
      <w:r>
        <w:t>2017;199:1041</w:t>
      </w:r>
      <w:proofErr w:type="gramEnd"/>
      <w:r>
        <w:t>-50.</w:t>
      </w:r>
    </w:p>
    <w:p w14:paraId="544FA0D4" w14:textId="77777777" w:rsidR="0082037A" w:rsidRDefault="0082037A" w:rsidP="00310560">
      <w:pPr>
        <w:pStyle w:val="BodyText"/>
        <w:rPr>
          <w:sz w:val="23"/>
        </w:rPr>
      </w:pPr>
    </w:p>
    <w:p w14:paraId="0DD9C18E" w14:textId="77777777" w:rsidR="0082037A" w:rsidRDefault="00DA4102" w:rsidP="00310560">
      <w:pPr>
        <w:pStyle w:val="BodyText"/>
        <w:ind w:left="100" w:right="152"/>
      </w:pPr>
      <w:r>
        <w:t xml:space="preserve">Natarajan P, Liu D, Patel SR, Santhanakrishnan M, Beitler D, Liu J, </w:t>
      </w:r>
      <w:r w:rsidRPr="00310560">
        <w:rPr>
          <w:b/>
        </w:rPr>
        <w:t>Gibb DR</w:t>
      </w:r>
      <w:r>
        <w:t xml:space="preserve">, </w:t>
      </w:r>
      <w:proofErr w:type="spellStart"/>
      <w:r>
        <w:t>Liepkalns</w:t>
      </w:r>
      <w:proofErr w:type="spellEnd"/>
      <w:r>
        <w:t xml:space="preserve"> JS, Madrid DJ, Eisenbarth SC, Stowell SR, Hendrickson JE. CD4 Depletion or CD40L Blockade Results in Antigen-Specific Tolerance in a Red Blood Cell Alloimmunization Model. Front Immunol </w:t>
      </w:r>
      <w:proofErr w:type="gramStart"/>
      <w:r>
        <w:t>2017;8:907</w:t>
      </w:r>
      <w:proofErr w:type="gramEnd"/>
      <w:r>
        <w:t>.</w:t>
      </w:r>
    </w:p>
    <w:p w14:paraId="75E32492" w14:textId="77777777" w:rsidR="0082037A" w:rsidRDefault="0082037A" w:rsidP="00310560">
      <w:pPr>
        <w:pStyle w:val="BodyText"/>
        <w:rPr>
          <w:sz w:val="23"/>
        </w:rPr>
      </w:pPr>
    </w:p>
    <w:p w14:paraId="25FEF9E4" w14:textId="77777777" w:rsidR="0082037A" w:rsidRDefault="00DA4102" w:rsidP="00310560">
      <w:pPr>
        <w:pStyle w:val="BodyText"/>
        <w:ind w:left="100"/>
      </w:pPr>
      <w:r w:rsidRPr="00310560">
        <w:rPr>
          <w:b/>
        </w:rPr>
        <w:t>Cheng C</w:t>
      </w:r>
      <w:r>
        <w:t xml:space="preserve">, Tormey CA, Hendrickson JE. Limitations of a scoring model to predict thrombotic </w:t>
      </w:r>
      <w:proofErr w:type="spellStart"/>
      <w:r>
        <w:t>thrombocytopaenic</w:t>
      </w:r>
      <w:proofErr w:type="spellEnd"/>
      <w:r>
        <w:t xml:space="preserve"> purpura. Vox Sang </w:t>
      </w:r>
      <w:proofErr w:type="gramStart"/>
      <w:r>
        <w:t>2017;112:185</w:t>
      </w:r>
      <w:proofErr w:type="gramEnd"/>
      <w:r>
        <w:t>-6.</w:t>
      </w:r>
    </w:p>
    <w:p w14:paraId="41C55541" w14:textId="77777777" w:rsidR="0082037A" w:rsidRDefault="0082037A" w:rsidP="00310560">
      <w:pPr>
        <w:pStyle w:val="BodyText"/>
        <w:rPr>
          <w:sz w:val="23"/>
        </w:rPr>
      </w:pPr>
    </w:p>
    <w:p w14:paraId="4A6465A5" w14:textId="77777777" w:rsidR="0082037A" w:rsidRDefault="00DA4102" w:rsidP="00310560">
      <w:pPr>
        <w:pStyle w:val="BodyText"/>
        <w:ind w:left="100" w:right="240"/>
      </w:pPr>
      <w:r w:rsidRPr="00310560">
        <w:rPr>
          <w:b/>
        </w:rPr>
        <w:t>Cheng C</w:t>
      </w:r>
      <w:r>
        <w:t xml:space="preserve">, Gokhale A, Tormey CA, Hendrickson JE, </w:t>
      </w:r>
      <w:r w:rsidRPr="00310560">
        <w:rPr>
          <w:b/>
        </w:rPr>
        <w:t>Bahar B</w:t>
      </w:r>
      <w:r>
        <w:t xml:space="preserve">. Preanalytical errors in transfusion medicine: Reply to "74-year-old female with new monoclonal protein on serum immunofixation electrophoresis". Clin </w:t>
      </w:r>
      <w:proofErr w:type="spellStart"/>
      <w:r>
        <w:t>Biochem</w:t>
      </w:r>
      <w:proofErr w:type="spellEnd"/>
      <w:r>
        <w:t xml:space="preserve"> </w:t>
      </w:r>
      <w:proofErr w:type="gramStart"/>
      <w:r>
        <w:t>2017;50:1334</w:t>
      </w:r>
      <w:proofErr w:type="gramEnd"/>
      <w:r>
        <w:t>-5.</w:t>
      </w:r>
    </w:p>
    <w:p w14:paraId="089C4C47" w14:textId="77777777" w:rsidR="0082037A" w:rsidRDefault="0082037A" w:rsidP="00310560">
      <w:pPr>
        <w:pStyle w:val="BodyText"/>
        <w:rPr>
          <w:sz w:val="23"/>
        </w:rPr>
      </w:pPr>
    </w:p>
    <w:p w14:paraId="6F26F165" w14:textId="66C4FA18" w:rsidR="0082037A" w:rsidRDefault="00DA4102" w:rsidP="00310560">
      <w:pPr>
        <w:pStyle w:val="BodyText"/>
        <w:ind w:left="100" w:right="152"/>
      </w:pPr>
      <w:r w:rsidRPr="00310560">
        <w:rPr>
          <w:b/>
        </w:rPr>
        <w:t>Cheng CW</w:t>
      </w:r>
      <w:r>
        <w:t xml:space="preserve">, Hendrickson JE, Tormey CA, Sidhu D. Therapeutic </w:t>
      </w:r>
      <w:r w:rsidR="004B4EA1">
        <w:t>p</w:t>
      </w:r>
      <w:r>
        <w:t xml:space="preserve">lasma </w:t>
      </w:r>
      <w:r w:rsidR="004B4EA1">
        <w:t>e</w:t>
      </w:r>
      <w:r>
        <w:t xml:space="preserve">xchange and Its Impact on Drug Levels: </w:t>
      </w:r>
      <w:r w:rsidR="004B4EA1">
        <w:t>a</w:t>
      </w:r>
      <w:r>
        <w:t xml:space="preserve">n ACLPS Critical Review. Am J Clin </w:t>
      </w:r>
      <w:proofErr w:type="spellStart"/>
      <w:r>
        <w:t>Pathol</w:t>
      </w:r>
      <w:proofErr w:type="spellEnd"/>
      <w:r>
        <w:t xml:space="preserve"> </w:t>
      </w:r>
      <w:proofErr w:type="gramStart"/>
      <w:r>
        <w:t>2017;148:190</w:t>
      </w:r>
      <w:proofErr w:type="gramEnd"/>
      <w:r>
        <w:t>-8.</w:t>
      </w:r>
    </w:p>
    <w:p w14:paraId="440792F9" w14:textId="77777777" w:rsidR="0082037A" w:rsidRDefault="0082037A" w:rsidP="00310560">
      <w:pPr>
        <w:pStyle w:val="BodyText"/>
        <w:rPr>
          <w:sz w:val="23"/>
        </w:rPr>
      </w:pPr>
    </w:p>
    <w:p w14:paraId="719E27DB" w14:textId="77777777" w:rsidR="0082037A" w:rsidRDefault="00DA4102" w:rsidP="00310560">
      <w:pPr>
        <w:pStyle w:val="BodyText"/>
        <w:ind w:left="100" w:right="441"/>
      </w:pPr>
      <w:r>
        <w:t xml:space="preserve">Celli R, </w:t>
      </w:r>
      <w:r w:rsidRPr="00310560">
        <w:rPr>
          <w:b/>
        </w:rPr>
        <w:t>Schulz W</w:t>
      </w:r>
      <w:r>
        <w:t xml:space="preserve">, Hendrickson JE, Tormey CA. A novel network analysis tool to identify relationships between disease states and risks for red blood cell alloimmunization. Vox Sang </w:t>
      </w:r>
      <w:proofErr w:type="gramStart"/>
      <w:r>
        <w:t>2017;112:469</w:t>
      </w:r>
      <w:proofErr w:type="gramEnd"/>
      <w:r>
        <w:t>-472.</w:t>
      </w:r>
    </w:p>
    <w:p w14:paraId="5B6BEEBF" w14:textId="77777777" w:rsidR="0082037A" w:rsidRDefault="0082037A" w:rsidP="00310560">
      <w:pPr>
        <w:pStyle w:val="BodyText"/>
        <w:rPr>
          <w:sz w:val="23"/>
        </w:rPr>
      </w:pPr>
    </w:p>
    <w:p w14:paraId="56B30EB2" w14:textId="77777777" w:rsidR="0082037A" w:rsidRDefault="00DA4102" w:rsidP="00310560">
      <w:pPr>
        <w:pStyle w:val="BodyText"/>
        <w:ind w:left="100" w:right="152"/>
      </w:pPr>
      <w:r w:rsidRPr="00310560">
        <w:rPr>
          <w:b/>
        </w:rPr>
        <w:t>Sidhu D</w:t>
      </w:r>
      <w:r>
        <w:t xml:space="preserve">, Snyder EL, Tormey CA. Two approaches to the clinical dilemma of treating TTP with therapeutic plasma exchange in patients with a history of anaphylactic reactions to plasma. J Clin </w:t>
      </w:r>
      <w:proofErr w:type="spellStart"/>
      <w:r>
        <w:t>Apher</w:t>
      </w:r>
      <w:proofErr w:type="spellEnd"/>
      <w:r w:rsidR="00310560">
        <w:t xml:space="preserve"> </w:t>
      </w:r>
      <w:proofErr w:type="gramStart"/>
      <w:r>
        <w:t>2017;32:158</w:t>
      </w:r>
      <w:proofErr w:type="gramEnd"/>
      <w:r>
        <w:t>-62.</w:t>
      </w:r>
    </w:p>
    <w:p w14:paraId="2E479F6D" w14:textId="77777777" w:rsidR="0082037A" w:rsidRDefault="0082037A" w:rsidP="00310560">
      <w:pPr>
        <w:pStyle w:val="BodyText"/>
        <w:rPr>
          <w:sz w:val="24"/>
        </w:rPr>
      </w:pPr>
    </w:p>
    <w:p w14:paraId="0CBBED7F" w14:textId="0DE3360B" w:rsidR="0082037A" w:rsidRDefault="00DA4102" w:rsidP="00310560">
      <w:pPr>
        <w:pStyle w:val="BodyText"/>
        <w:ind w:left="100"/>
      </w:pPr>
      <w:r w:rsidRPr="00310560">
        <w:rPr>
          <w:b/>
        </w:rPr>
        <w:lastRenderedPageBreak/>
        <w:t>Parker V</w:t>
      </w:r>
      <w:r>
        <w:t xml:space="preserve">, Tormey CA. The direct antiglobulin test: </w:t>
      </w:r>
      <w:r w:rsidR="007A694E">
        <w:t>i</w:t>
      </w:r>
      <w:r>
        <w:t xml:space="preserve">ndications, interpretation, and pitfalls. Arch </w:t>
      </w:r>
      <w:proofErr w:type="spellStart"/>
      <w:r>
        <w:t>Pathol</w:t>
      </w:r>
      <w:proofErr w:type="spellEnd"/>
      <w:r>
        <w:t xml:space="preserve"> Lab Med</w:t>
      </w:r>
      <w:r>
        <w:rPr>
          <w:spacing w:val="57"/>
        </w:rPr>
        <w:t xml:space="preserve"> </w:t>
      </w:r>
      <w:proofErr w:type="gramStart"/>
      <w:r>
        <w:t>2017;141:305</w:t>
      </w:r>
      <w:proofErr w:type="gramEnd"/>
      <w:r>
        <w:t>-310.</w:t>
      </w:r>
    </w:p>
    <w:p w14:paraId="2092CCE6" w14:textId="77777777" w:rsidR="0082037A" w:rsidRDefault="0082037A" w:rsidP="00310560">
      <w:pPr>
        <w:pStyle w:val="BodyText"/>
        <w:rPr>
          <w:sz w:val="23"/>
        </w:rPr>
      </w:pPr>
    </w:p>
    <w:p w14:paraId="3ACB4A07" w14:textId="77777777" w:rsidR="0082037A" w:rsidRDefault="00DA4102" w:rsidP="00310560">
      <w:pPr>
        <w:pStyle w:val="BodyText"/>
        <w:ind w:left="100"/>
      </w:pPr>
      <w:r w:rsidRPr="00310560">
        <w:rPr>
          <w:b/>
        </w:rPr>
        <w:t>Ryder AB</w:t>
      </w:r>
      <w:r>
        <w:t xml:space="preserve">, Hendrickson JE, Tormey CA. Chronic inflammatory autoimmune disorders are a risk factor for red blood cell alloimmunization. Br J </w:t>
      </w:r>
      <w:proofErr w:type="spellStart"/>
      <w:r>
        <w:t>Haematol</w:t>
      </w:r>
      <w:proofErr w:type="spellEnd"/>
      <w:r>
        <w:t xml:space="preserve"> </w:t>
      </w:r>
      <w:proofErr w:type="gramStart"/>
      <w:r>
        <w:t>2016;174:483</w:t>
      </w:r>
      <w:proofErr w:type="gramEnd"/>
      <w:r>
        <w:t>-5.</w:t>
      </w:r>
    </w:p>
    <w:p w14:paraId="23E3CA68" w14:textId="77777777" w:rsidR="0082037A" w:rsidRDefault="0082037A" w:rsidP="00310560">
      <w:pPr>
        <w:pStyle w:val="BodyText"/>
        <w:rPr>
          <w:sz w:val="23"/>
        </w:rPr>
      </w:pPr>
    </w:p>
    <w:p w14:paraId="74D8C5C7" w14:textId="77777777" w:rsidR="0082037A" w:rsidRDefault="00DA4102" w:rsidP="00310560">
      <w:pPr>
        <w:pStyle w:val="BodyText"/>
        <w:ind w:left="100" w:right="178"/>
        <w:jc w:val="both"/>
      </w:pPr>
      <w:r>
        <w:t xml:space="preserve">Hendrickson JE, Hendrickson ET, </w:t>
      </w:r>
      <w:proofErr w:type="spellStart"/>
      <w:r w:rsidRPr="00310560">
        <w:rPr>
          <w:b/>
        </w:rPr>
        <w:t>Gehrie</w:t>
      </w:r>
      <w:proofErr w:type="spellEnd"/>
      <w:r w:rsidRPr="00310560">
        <w:rPr>
          <w:b/>
        </w:rPr>
        <w:t xml:space="preserve"> EA, Sidhu D</w:t>
      </w:r>
      <w:r>
        <w:t xml:space="preserve">, </w:t>
      </w:r>
      <w:proofErr w:type="spellStart"/>
      <w:r>
        <w:t>Wallukat</w:t>
      </w:r>
      <w:proofErr w:type="spellEnd"/>
      <w:r>
        <w:t xml:space="preserve"> G, Schimke I, Tormey CA. Complex regional pain syndrome and dysautonomia in a 14-year-old girl responsive to therapeutic plasma exchange. J Clin </w:t>
      </w:r>
      <w:proofErr w:type="spellStart"/>
      <w:r>
        <w:t>Apher</w:t>
      </w:r>
      <w:proofErr w:type="spellEnd"/>
      <w:r>
        <w:t xml:space="preserve"> </w:t>
      </w:r>
      <w:proofErr w:type="gramStart"/>
      <w:r>
        <w:t>2016;31:368</w:t>
      </w:r>
      <w:proofErr w:type="gramEnd"/>
      <w:r>
        <w:t>-74.</w:t>
      </w:r>
    </w:p>
    <w:p w14:paraId="3B2866DE" w14:textId="77777777" w:rsidR="0082037A" w:rsidRDefault="0082037A" w:rsidP="00310560">
      <w:pPr>
        <w:pStyle w:val="BodyText"/>
        <w:rPr>
          <w:sz w:val="23"/>
        </w:rPr>
      </w:pPr>
    </w:p>
    <w:p w14:paraId="17FF2AFE" w14:textId="77777777" w:rsidR="0082037A" w:rsidRDefault="00DA4102" w:rsidP="00310560">
      <w:pPr>
        <w:pStyle w:val="BodyText"/>
        <w:ind w:left="100"/>
      </w:pPr>
      <w:r w:rsidRPr="00310560">
        <w:rPr>
          <w:b/>
        </w:rPr>
        <w:t>Unold D</w:t>
      </w:r>
      <w:r>
        <w:t xml:space="preserve">, Tormey CA. Clinical applications of 4-factor prothrombin complex concentrate: A practical pathologist's perspective. Arch </w:t>
      </w:r>
      <w:proofErr w:type="spellStart"/>
      <w:r>
        <w:t>Pathol</w:t>
      </w:r>
      <w:proofErr w:type="spellEnd"/>
      <w:r>
        <w:t xml:space="preserve"> Lab Med </w:t>
      </w:r>
      <w:proofErr w:type="gramStart"/>
      <w:r>
        <w:t>2015;139:1568</w:t>
      </w:r>
      <w:proofErr w:type="gramEnd"/>
      <w:r>
        <w:t>-75.</w:t>
      </w:r>
    </w:p>
    <w:p w14:paraId="33210BAB" w14:textId="77777777" w:rsidR="0082037A" w:rsidRDefault="0082037A" w:rsidP="00310560">
      <w:pPr>
        <w:pStyle w:val="BodyText"/>
        <w:rPr>
          <w:sz w:val="23"/>
        </w:rPr>
      </w:pPr>
    </w:p>
    <w:p w14:paraId="15C97E35" w14:textId="77777777" w:rsidR="0082037A" w:rsidRDefault="00DA4102" w:rsidP="00310560">
      <w:pPr>
        <w:pStyle w:val="BodyText"/>
        <w:ind w:left="100"/>
      </w:pPr>
      <w:proofErr w:type="spellStart"/>
      <w:r w:rsidRPr="00310560">
        <w:rPr>
          <w:b/>
        </w:rPr>
        <w:t>Gehrie</w:t>
      </w:r>
      <w:proofErr w:type="spellEnd"/>
      <w:r w:rsidRPr="00310560">
        <w:rPr>
          <w:b/>
        </w:rPr>
        <w:t xml:space="preserve"> EA</w:t>
      </w:r>
      <w:r>
        <w:t xml:space="preserve">, Hendrickson JE, Tormey CA. Measuring the influence of blood component infusion rate on recipient vital signs. Vox Sang </w:t>
      </w:r>
      <w:proofErr w:type="gramStart"/>
      <w:r>
        <w:t>2015;109:353</w:t>
      </w:r>
      <w:proofErr w:type="gramEnd"/>
      <w:r>
        <w:t>-8.</w:t>
      </w:r>
    </w:p>
    <w:p w14:paraId="6DFB7DFC" w14:textId="77777777" w:rsidR="0082037A" w:rsidRDefault="0082037A" w:rsidP="00310560">
      <w:pPr>
        <w:pStyle w:val="BodyText"/>
        <w:rPr>
          <w:sz w:val="23"/>
        </w:rPr>
      </w:pPr>
    </w:p>
    <w:p w14:paraId="641D185E" w14:textId="77777777" w:rsidR="0082037A" w:rsidRDefault="00DA4102" w:rsidP="00310560">
      <w:pPr>
        <w:pStyle w:val="BodyText"/>
        <w:ind w:left="100" w:right="179"/>
        <w:jc w:val="both"/>
      </w:pPr>
      <w:proofErr w:type="spellStart"/>
      <w:r w:rsidRPr="00310560">
        <w:rPr>
          <w:b/>
        </w:rPr>
        <w:t>Gehrie</w:t>
      </w:r>
      <w:proofErr w:type="spellEnd"/>
      <w:r w:rsidRPr="00310560">
        <w:rPr>
          <w:b/>
        </w:rPr>
        <w:t xml:space="preserve"> EA</w:t>
      </w:r>
      <w:r>
        <w:t>, Hendrickson JE, Tormey CA. Variation in vital signs resulting from blood</w:t>
      </w:r>
      <w:r>
        <w:rPr>
          <w:spacing w:val="-28"/>
        </w:rPr>
        <w:t xml:space="preserve"> </w:t>
      </w:r>
      <w:r>
        <w:t>component administration in adults. Transfusion</w:t>
      </w:r>
      <w:r>
        <w:rPr>
          <w:spacing w:val="-8"/>
        </w:rPr>
        <w:t xml:space="preserve"> </w:t>
      </w:r>
      <w:proofErr w:type="gramStart"/>
      <w:r>
        <w:t>2015;55:1866</w:t>
      </w:r>
      <w:proofErr w:type="gramEnd"/>
      <w:r>
        <w:t>-71.</w:t>
      </w:r>
    </w:p>
    <w:p w14:paraId="4B3CB6AC" w14:textId="77777777" w:rsidR="0082037A" w:rsidRDefault="0082037A" w:rsidP="00310560">
      <w:pPr>
        <w:pStyle w:val="BodyText"/>
        <w:rPr>
          <w:sz w:val="23"/>
        </w:rPr>
      </w:pPr>
    </w:p>
    <w:p w14:paraId="7338CD3B" w14:textId="77777777" w:rsidR="0082037A" w:rsidRDefault="00DA4102" w:rsidP="00310560">
      <w:pPr>
        <w:pStyle w:val="BodyText"/>
        <w:ind w:left="100"/>
      </w:pPr>
      <w:proofErr w:type="spellStart"/>
      <w:r w:rsidRPr="00310560">
        <w:rPr>
          <w:b/>
        </w:rPr>
        <w:t>Gehrie</w:t>
      </w:r>
      <w:proofErr w:type="spellEnd"/>
      <w:r w:rsidRPr="00310560">
        <w:rPr>
          <w:b/>
        </w:rPr>
        <w:t xml:space="preserve"> E</w:t>
      </w:r>
      <w:r>
        <w:t xml:space="preserve">, Tormey C. Novel oral anticoagulants: efficacy, laboratory measurement, and approaches to emergent reversal. Arch </w:t>
      </w:r>
      <w:proofErr w:type="spellStart"/>
      <w:r>
        <w:t>Pathol</w:t>
      </w:r>
      <w:proofErr w:type="spellEnd"/>
      <w:r>
        <w:t xml:space="preserve"> Lab Med </w:t>
      </w:r>
      <w:proofErr w:type="gramStart"/>
      <w:r>
        <w:t>2015;139:687</w:t>
      </w:r>
      <w:proofErr w:type="gramEnd"/>
      <w:r>
        <w:t>-92.</w:t>
      </w:r>
    </w:p>
    <w:p w14:paraId="65264E16" w14:textId="77777777" w:rsidR="00310560" w:rsidRDefault="00310560" w:rsidP="00310560">
      <w:pPr>
        <w:pStyle w:val="BodyText"/>
        <w:ind w:left="100"/>
        <w:rPr>
          <w:sz w:val="11"/>
        </w:rPr>
      </w:pPr>
    </w:p>
    <w:p w14:paraId="098E935D" w14:textId="77777777" w:rsidR="00310560" w:rsidRDefault="00310560" w:rsidP="00310560">
      <w:pPr>
        <w:pStyle w:val="BodyText"/>
        <w:ind w:left="100"/>
        <w:rPr>
          <w:sz w:val="11"/>
        </w:rPr>
      </w:pPr>
    </w:p>
    <w:p w14:paraId="3DB80371" w14:textId="77777777" w:rsidR="0082037A" w:rsidRDefault="00DA4102" w:rsidP="00310560">
      <w:pPr>
        <w:pStyle w:val="BodyText"/>
        <w:ind w:left="100" w:right="870"/>
      </w:pPr>
      <w:proofErr w:type="spellStart"/>
      <w:r w:rsidRPr="00310560">
        <w:rPr>
          <w:b/>
        </w:rPr>
        <w:t>Gehrie</w:t>
      </w:r>
      <w:proofErr w:type="spellEnd"/>
      <w:r w:rsidRPr="00310560">
        <w:rPr>
          <w:b/>
        </w:rPr>
        <w:t xml:space="preserve"> EA</w:t>
      </w:r>
      <w:r>
        <w:t xml:space="preserve">, Booth GS. Stem cell collection considerations for AL amyloidosis. Conn Med </w:t>
      </w:r>
      <w:proofErr w:type="gramStart"/>
      <w:r>
        <w:t>2014;78:587</w:t>
      </w:r>
      <w:proofErr w:type="gramEnd"/>
      <w:r>
        <w:t>-90.</w:t>
      </w:r>
    </w:p>
    <w:p w14:paraId="5768E9C7" w14:textId="77777777" w:rsidR="0082037A" w:rsidRDefault="0082037A" w:rsidP="00310560">
      <w:pPr>
        <w:pStyle w:val="BodyText"/>
        <w:rPr>
          <w:sz w:val="23"/>
        </w:rPr>
      </w:pPr>
    </w:p>
    <w:p w14:paraId="6EDD6E6D" w14:textId="77777777" w:rsidR="0082037A" w:rsidRDefault="00DA4102" w:rsidP="00310560">
      <w:pPr>
        <w:pStyle w:val="BodyText"/>
        <w:ind w:left="100"/>
      </w:pPr>
      <w:r w:rsidRPr="00310560">
        <w:rPr>
          <w:b/>
        </w:rPr>
        <w:t xml:space="preserve">Unni N, </w:t>
      </w:r>
      <w:proofErr w:type="spellStart"/>
      <w:r w:rsidRPr="00310560">
        <w:rPr>
          <w:b/>
        </w:rPr>
        <w:t>Peddinghaus</w:t>
      </w:r>
      <w:proofErr w:type="spellEnd"/>
      <w:r w:rsidRPr="00310560">
        <w:rPr>
          <w:b/>
        </w:rPr>
        <w:t xml:space="preserve"> M</w:t>
      </w:r>
      <w:r>
        <w:t>, Tormey CA, Stack G. Record fragmentation due to transfusion at multiple health care facilities: a risk factor for delayed hemolytic transfusion reactions.</w:t>
      </w:r>
    </w:p>
    <w:p w14:paraId="3FE24475" w14:textId="77777777" w:rsidR="0082037A" w:rsidRDefault="00DA4102" w:rsidP="00310560">
      <w:pPr>
        <w:pStyle w:val="BodyText"/>
        <w:ind w:left="100"/>
      </w:pPr>
      <w:r>
        <w:t xml:space="preserve">Transfusion </w:t>
      </w:r>
      <w:proofErr w:type="gramStart"/>
      <w:r>
        <w:t>2014;54:98</w:t>
      </w:r>
      <w:proofErr w:type="gramEnd"/>
      <w:r>
        <w:t>-103.</w:t>
      </w:r>
    </w:p>
    <w:p w14:paraId="666915E4" w14:textId="77777777" w:rsidR="0082037A" w:rsidRDefault="0082037A" w:rsidP="00310560">
      <w:pPr>
        <w:pStyle w:val="BodyText"/>
        <w:rPr>
          <w:sz w:val="24"/>
        </w:rPr>
      </w:pPr>
    </w:p>
    <w:p w14:paraId="6879C06A" w14:textId="77777777" w:rsidR="0082037A" w:rsidRDefault="00DA4102" w:rsidP="00310560">
      <w:pPr>
        <w:pStyle w:val="BodyText"/>
        <w:ind w:left="100" w:right="117"/>
        <w:jc w:val="both"/>
      </w:pPr>
      <w:proofErr w:type="spellStart"/>
      <w:r w:rsidRPr="00310560">
        <w:rPr>
          <w:b/>
        </w:rPr>
        <w:t>Gehrie</w:t>
      </w:r>
      <w:proofErr w:type="spellEnd"/>
      <w:r w:rsidRPr="00310560">
        <w:rPr>
          <w:b/>
        </w:rPr>
        <w:t xml:space="preserve"> EA</w:t>
      </w:r>
      <w:r>
        <w:t xml:space="preserve">, Tormey CA. The influence of clinical and biological factors on transfusion-associated non-ABO antigen alloimmunization: Responders, hyper-responders, and non-responders. </w:t>
      </w:r>
      <w:proofErr w:type="spellStart"/>
      <w:r>
        <w:t>Transfus</w:t>
      </w:r>
      <w:proofErr w:type="spellEnd"/>
      <w:r>
        <w:t xml:space="preserve"> Med </w:t>
      </w:r>
      <w:proofErr w:type="spellStart"/>
      <w:r>
        <w:t>Hemother</w:t>
      </w:r>
      <w:proofErr w:type="spellEnd"/>
      <w:r>
        <w:t xml:space="preserve"> </w:t>
      </w:r>
      <w:proofErr w:type="gramStart"/>
      <w:r>
        <w:t>2014;41:420</w:t>
      </w:r>
      <w:proofErr w:type="gramEnd"/>
      <w:r>
        <w:t>-9.</w:t>
      </w:r>
    </w:p>
    <w:p w14:paraId="21D794A0" w14:textId="77777777" w:rsidR="0082037A" w:rsidRDefault="0082037A" w:rsidP="00310560">
      <w:pPr>
        <w:pStyle w:val="BodyText"/>
        <w:rPr>
          <w:sz w:val="23"/>
        </w:rPr>
      </w:pPr>
    </w:p>
    <w:p w14:paraId="666D8A1A" w14:textId="77777777" w:rsidR="0082037A" w:rsidRDefault="00DA4102" w:rsidP="00310560">
      <w:pPr>
        <w:pStyle w:val="BodyText"/>
        <w:ind w:left="100" w:right="152"/>
      </w:pPr>
      <w:proofErr w:type="spellStart"/>
      <w:r w:rsidRPr="00310560">
        <w:rPr>
          <w:b/>
        </w:rPr>
        <w:t>Gehrie</w:t>
      </w:r>
      <w:proofErr w:type="spellEnd"/>
      <w:r w:rsidRPr="00310560">
        <w:rPr>
          <w:b/>
        </w:rPr>
        <w:t xml:space="preserve"> EA</w:t>
      </w:r>
      <w:r>
        <w:t xml:space="preserve">, Tormey CA. The development and implementation of, and first years' experience with, a massive/emergency transfusion protocol (damage control hematology protocol) in a Veterans Affairs hospital. Mil Med </w:t>
      </w:r>
      <w:proofErr w:type="gramStart"/>
      <w:r>
        <w:t>2014;179:1099</w:t>
      </w:r>
      <w:proofErr w:type="gramEnd"/>
      <w:r>
        <w:t>-105.</w:t>
      </w:r>
    </w:p>
    <w:p w14:paraId="1357E855" w14:textId="77777777" w:rsidR="0082037A" w:rsidRDefault="0082037A" w:rsidP="00310560">
      <w:pPr>
        <w:pStyle w:val="BodyText"/>
        <w:rPr>
          <w:sz w:val="23"/>
        </w:rPr>
      </w:pPr>
    </w:p>
    <w:p w14:paraId="2E78B309" w14:textId="77777777" w:rsidR="0082037A" w:rsidRDefault="00DA4102" w:rsidP="00310560">
      <w:pPr>
        <w:pStyle w:val="BodyText"/>
        <w:ind w:left="100"/>
      </w:pPr>
      <w:r w:rsidRPr="00310560">
        <w:rPr>
          <w:b/>
        </w:rPr>
        <w:t>Ryder AB</w:t>
      </w:r>
      <w:r>
        <w:t xml:space="preserve">, Zimring JC, Hendrickson JE. Factors influencing RBC alloimmunization: Lessons learned from murine models. </w:t>
      </w:r>
      <w:proofErr w:type="spellStart"/>
      <w:r>
        <w:t>Transfus</w:t>
      </w:r>
      <w:proofErr w:type="spellEnd"/>
      <w:r>
        <w:t xml:space="preserve"> Med </w:t>
      </w:r>
      <w:proofErr w:type="spellStart"/>
      <w:r>
        <w:t>Hemother</w:t>
      </w:r>
      <w:proofErr w:type="spellEnd"/>
      <w:r>
        <w:t xml:space="preserve"> </w:t>
      </w:r>
      <w:proofErr w:type="gramStart"/>
      <w:r>
        <w:t>2014;41:406</w:t>
      </w:r>
      <w:proofErr w:type="gramEnd"/>
      <w:r>
        <w:t>-19.</w:t>
      </w:r>
    </w:p>
    <w:p w14:paraId="677935E9" w14:textId="77777777" w:rsidR="0082037A" w:rsidRDefault="0082037A" w:rsidP="00310560">
      <w:pPr>
        <w:pStyle w:val="BodyText"/>
        <w:rPr>
          <w:sz w:val="23"/>
        </w:rPr>
      </w:pPr>
    </w:p>
    <w:p w14:paraId="30161D16" w14:textId="77777777" w:rsidR="0082037A" w:rsidRDefault="00DA4102" w:rsidP="00310560">
      <w:pPr>
        <w:pStyle w:val="BodyText"/>
        <w:ind w:left="100" w:right="269"/>
        <w:jc w:val="both"/>
      </w:pPr>
      <w:proofErr w:type="spellStart"/>
      <w:r w:rsidRPr="00310560">
        <w:rPr>
          <w:b/>
        </w:rPr>
        <w:t>Maitta</w:t>
      </w:r>
      <w:proofErr w:type="spellEnd"/>
      <w:r w:rsidRPr="00310560">
        <w:rPr>
          <w:b/>
        </w:rPr>
        <w:t xml:space="preserve"> RW</w:t>
      </w:r>
      <w:r>
        <w:t>, Avery L, Champion M, Vaughn D, Baillargeon C, Lederer J, Snyder EL. How do</w:t>
      </w:r>
      <w:r>
        <w:rPr>
          <w:spacing w:val="-40"/>
        </w:rPr>
        <w:t xml:space="preserve"> </w:t>
      </w:r>
      <w:r>
        <w:t>we integrate transfusion medicine and tissue dispensing programs in an academic medical center: response to a changing regulatory environment. Transfusion</w:t>
      </w:r>
      <w:r>
        <w:rPr>
          <w:spacing w:val="-13"/>
        </w:rPr>
        <w:t xml:space="preserve"> </w:t>
      </w:r>
      <w:proofErr w:type="gramStart"/>
      <w:r>
        <w:t>2012;52:1172</w:t>
      </w:r>
      <w:proofErr w:type="gramEnd"/>
      <w:r>
        <w:t>-81.</w:t>
      </w:r>
    </w:p>
    <w:p w14:paraId="5B66AEFB" w14:textId="77777777" w:rsidR="00310560" w:rsidRDefault="00310560" w:rsidP="00310560">
      <w:pPr>
        <w:pStyle w:val="BodyText"/>
        <w:ind w:left="100" w:right="887"/>
        <w:jc w:val="both"/>
      </w:pPr>
    </w:p>
    <w:p w14:paraId="0D53B2CC" w14:textId="77777777" w:rsidR="0082037A" w:rsidRDefault="00DA4102" w:rsidP="00310560">
      <w:pPr>
        <w:pStyle w:val="BodyText"/>
        <w:ind w:left="100" w:right="887"/>
        <w:jc w:val="both"/>
      </w:pPr>
      <w:proofErr w:type="spellStart"/>
      <w:r w:rsidRPr="00310560">
        <w:rPr>
          <w:b/>
        </w:rPr>
        <w:t>Maitta</w:t>
      </w:r>
      <w:proofErr w:type="spellEnd"/>
      <w:r w:rsidRPr="00310560">
        <w:rPr>
          <w:b/>
        </w:rPr>
        <w:t xml:space="preserve"> RW, Choate J</w:t>
      </w:r>
      <w:r>
        <w:t xml:space="preserve">, Emre SH, </w:t>
      </w:r>
      <w:proofErr w:type="spellStart"/>
      <w:r>
        <w:t>Luczycki</w:t>
      </w:r>
      <w:proofErr w:type="spellEnd"/>
      <w:r>
        <w:t xml:space="preserve"> SM, Wu Y. Emergency ABO-incompatible</w:t>
      </w:r>
      <w:r>
        <w:rPr>
          <w:spacing w:val="-37"/>
        </w:rPr>
        <w:t xml:space="preserve"> </w:t>
      </w:r>
      <w:r>
        <w:t>liver transplant secondary to fulminant hepatic failure: outcome, role of TPE and review of</w:t>
      </w:r>
      <w:r>
        <w:rPr>
          <w:spacing w:val="-31"/>
        </w:rPr>
        <w:t xml:space="preserve"> </w:t>
      </w:r>
      <w:r>
        <w:t xml:space="preserve">the literature. J Clin </w:t>
      </w:r>
      <w:proofErr w:type="spellStart"/>
      <w:r>
        <w:t>Apher</w:t>
      </w:r>
      <w:proofErr w:type="spellEnd"/>
      <w:r>
        <w:rPr>
          <w:spacing w:val="-3"/>
        </w:rPr>
        <w:t xml:space="preserve"> </w:t>
      </w:r>
      <w:proofErr w:type="gramStart"/>
      <w:r>
        <w:t>2012;27:320</w:t>
      </w:r>
      <w:proofErr w:type="gramEnd"/>
      <w:r>
        <w:t>-9.</w:t>
      </w:r>
    </w:p>
    <w:p w14:paraId="5EFEE6E4" w14:textId="77777777" w:rsidR="0082037A" w:rsidRDefault="0082037A" w:rsidP="00310560">
      <w:pPr>
        <w:pStyle w:val="BodyText"/>
        <w:rPr>
          <w:sz w:val="23"/>
        </w:rPr>
      </w:pPr>
    </w:p>
    <w:p w14:paraId="73ECAE2A" w14:textId="77777777" w:rsidR="0082037A" w:rsidRDefault="00DA4102" w:rsidP="00310560">
      <w:pPr>
        <w:pStyle w:val="BodyText"/>
        <w:ind w:left="100"/>
        <w:jc w:val="both"/>
      </w:pPr>
      <w:r w:rsidRPr="00310560">
        <w:rPr>
          <w:b/>
        </w:rPr>
        <w:t>Choate J</w:t>
      </w:r>
      <w:r>
        <w:t xml:space="preserve">, Snyder EL. The rise of cellular therapy. </w:t>
      </w:r>
      <w:proofErr w:type="spellStart"/>
      <w:r>
        <w:t>Transfus</w:t>
      </w:r>
      <w:proofErr w:type="spellEnd"/>
      <w:r>
        <w:t xml:space="preserve"> </w:t>
      </w:r>
      <w:proofErr w:type="spellStart"/>
      <w:r>
        <w:t>Apher</w:t>
      </w:r>
      <w:proofErr w:type="spellEnd"/>
      <w:r>
        <w:t xml:space="preserve"> Sci </w:t>
      </w:r>
      <w:proofErr w:type="gramStart"/>
      <w:r>
        <w:t>2011;45:91</w:t>
      </w:r>
      <w:proofErr w:type="gramEnd"/>
      <w:r>
        <w:t>-7.</w:t>
      </w:r>
    </w:p>
    <w:p w14:paraId="59E26C54" w14:textId="77777777" w:rsidR="0082037A" w:rsidRDefault="0082037A" w:rsidP="00310560">
      <w:pPr>
        <w:pStyle w:val="BodyText"/>
        <w:rPr>
          <w:sz w:val="24"/>
        </w:rPr>
      </w:pPr>
    </w:p>
    <w:p w14:paraId="5E62C215" w14:textId="77777777" w:rsidR="0082037A" w:rsidRDefault="00DA4102" w:rsidP="00310560">
      <w:pPr>
        <w:pStyle w:val="BodyText"/>
        <w:ind w:left="100" w:right="905"/>
        <w:jc w:val="both"/>
      </w:pPr>
      <w:r>
        <w:t xml:space="preserve">Snyder E, </w:t>
      </w:r>
      <w:r w:rsidRPr="00310560">
        <w:rPr>
          <w:b/>
        </w:rPr>
        <w:t>Choate J</w:t>
      </w:r>
      <w:r>
        <w:t>. The emergence of cellular therapy: impact on transfusion</w:t>
      </w:r>
      <w:r>
        <w:rPr>
          <w:spacing w:val="-39"/>
        </w:rPr>
        <w:t xml:space="preserve"> </w:t>
      </w:r>
      <w:r>
        <w:t>medicine. Transfusion</w:t>
      </w:r>
      <w:r>
        <w:rPr>
          <w:spacing w:val="-2"/>
        </w:rPr>
        <w:t xml:space="preserve"> </w:t>
      </w:r>
      <w:proofErr w:type="gramStart"/>
      <w:r>
        <w:t>2010;50:2301</w:t>
      </w:r>
      <w:proofErr w:type="gramEnd"/>
      <w:r>
        <w:t>-9.</w:t>
      </w:r>
    </w:p>
    <w:p w14:paraId="0DBC8B3B" w14:textId="77777777" w:rsidR="0082037A" w:rsidRDefault="0082037A" w:rsidP="00310560">
      <w:pPr>
        <w:pStyle w:val="BodyText"/>
        <w:rPr>
          <w:sz w:val="23"/>
        </w:rPr>
      </w:pPr>
    </w:p>
    <w:p w14:paraId="1536039E" w14:textId="77777777" w:rsidR="0082037A" w:rsidRDefault="00DA4102" w:rsidP="00310560">
      <w:pPr>
        <w:pStyle w:val="BodyText"/>
        <w:ind w:left="100" w:right="180"/>
      </w:pPr>
      <w:r>
        <w:t xml:space="preserve">Tormey CA, </w:t>
      </w:r>
      <w:proofErr w:type="spellStart"/>
      <w:r w:rsidRPr="00310560">
        <w:rPr>
          <w:b/>
        </w:rPr>
        <w:t>Peddinghaus</w:t>
      </w:r>
      <w:proofErr w:type="spellEnd"/>
      <w:r w:rsidRPr="00310560">
        <w:rPr>
          <w:b/>
        </w:rPr>
        <w:t xml:space="preserve"> ME, Erickson M</w:t>
      </w:r>
      <w:r>
        <w:t xml:space="preserve">, King KE, Cushing MM, Bill J, Goodrich T, Snyder </w:t>
      </w:r>
      <w:r>
        <w:lastRenderedPageBreak/>
        <w:t xml:space="preserve">EL. Improved plasma removal efficiency for therapeutic plasma exchange using a new apheresis platform. Transfusion </w:t>
      </w:r>
      <w:proofErr w:type="gramStart"/>
      <w:r>
        <w:t>2010;50:471</w:t>
      </w:r>
      <w:proofErr w:type="gramEnd"/>
      <w:r>
        <w:t>-7.</w:t>
      </w:r>
    </w:p>
    <w:sectPr w:rsidR="0082037A">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7A"/>
    <w:rsid w:val="001B0BF7"/>
    <w:rsid w:val="00291AE4"/>
    <w:rsid w:val="00310560"/>
    <w:rsid w:val="003178C5"/>
    <w:rsid w:val="003A0C8D"/>
    <w:rsid w:val="004B4EA1"/>
    <w:rsid w:val="007A694E"/>
    <w:rsid w:val="0082037A"/>
    <w:rsid w:val="009E1362"/>
    <w:rsid w:val="00B84CF1"/>
    <w:rsid w:val="00DA4102"/>
    <w:rsid w:val="00EA06F7"/>
    <w:rsid w:val="00F1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4F9B00"/>
  <w15:docId w15:val="{2D5DF06F-89AC-FD4A-9FB5-6E48ADC1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next w:val="Normal"/>
    <w:link w:val="Heading1Char"/>
    <w:uiPriority w:val="9"/>
    <w:qFormat/>
    <w:rsid w:val="001B0BF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B0BF7"/>
    <w:rPr>
      <w:rFonts w:asciiTheme="majorHAnsi" w:eastAsiaTheme="majorEastAsia" w:hAnsiTheme="majorHAnsi" w:cstheme="majorBidi"/>
      <w:color w:val="365F91" w:themeColor="accent1" w:themeShade="BF"/>
      <w:sz w:val="32"/>
      <w:szCs w:val="3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0895">
      <w:bodyDiv w:val="1"/>
      <w:marLeft w:val="0"/>
      <w:marRight w:val="0"/>
      <w:marTop w:val="0"/>
      <w:marBottom w:val="0"/>
      <w:divBdr>
        <w:top w:val="none" w:sz="0" w:space="0" w:color="auto"/>
        <w:left w:val="none" w:sz="0" w:space="0" w:color="auto"/>
        <w:bottom w:val="none" w:sz="0" w:space="0" w:color="auto"/>
        <w:right w:val="none" w:sz="0" w:space="0" w:color="auto"/>
      </w:divBdr>
    </w:div>
    <w:div w:id="24403212">
      <w:bodyDiv w:val="1"/>
      <w:marLeft w:val="0"/>
      <w:marRight w:val="0"/>
      <w:marTop w:val="0"/>
      <w:marBottom w:val="0"/>
      <w:divBdr>
        <w:top w:val="none" w:sz="0" w:space="0" w:color="auto"/>
        <w:left w:val="none" w:sz="0" w:space="0" w:color="auto"/>
        <w:bottom w:val="none" w:sz="0" w:space="0" w:color="auto"/>
        <w:right w:val="none" w:sz="0" w:space="0" w:color="auto"/>
      </w:divBdr>
    </w:div>
    <w:div w:id="114754511">
      <w:bodyDiv w:val="1"/>
      <w:marLeft w:val="0"/>
      <w:marRight w:val="0"/>
      <w:marTop w:val="0"/>
      <w:marBottom w:val="0"/>
      <w:divBdr>
        <w:top w:val="none" w:sz="0" w:space="0" w:color="auto"/>
        <w:left w:val="none" w:sz="0" w:space="0" w:color="auto"/>
        <w:bottom w:val="none" w:sz="0" w:space="0" w:color="auto"/>
        <w:right w:val="none" w:sz="0" w:space="0" w:color="auto"/>
      </w:divBdr>
    </w:div>
    <w:div w:id="150146561">
      <w:bodyDiv w:val="1"/>
      <w:marLeft w:val="0"/>
      <w:marRight w:val="0"/>
      <w:marTop w:val="0"/>
      <w:marBottom w:val="0"/>
      <w:divBdr>
        <w:top w:val="none" w:sz="0" w:space="0" w:color="auto"/>
        <w:left w:val="none" w:sz="0" w:space="0" w:color="auto"/>
        <w:bottom w:val="none" w:sz="0" w:space="0" w:color="auto"/>
        <w:right w:val="none" w:sz="0" w:space="0" w:color="auto"/>
      </w:divBdr>
    </w:div>
    <w:div w:id="563296980">
      <w:bodyDiv w:val="1"/>
      <w:marLeft w:val="0"/>
      <w:marRight w:val="0"/>
      <w:marTop w:val="0"/>
      <w:marBottom w:val="0"/>
      <w:divBdr>
        <w:top w:val="none" w:sz="0" w:space="0" w:color="auto"/>
        <w:left w:val="none" w:sz="0" w:space="0" w:color="auto"/>
        <w:bottom w:val="none" w:sz="0" w:space="0" w:color="auto"/>
        <w:right w:val="none" w:sz="0" w:space="0" w:color="auto"/>
      </w:divBdr>
    </w:div>
    <w:div w:id="618800096">
      <w:bodyDiv w:val="1"/>
      <w:marLeft w:val="0"/>
      <w:marRight w:val="0"/>
      <w:marTop w:val="0"/>
      <w:marBottom w:val="0"/>
      <w:divBdr>
        <w:top w:val="none" w:sz="0" w:space="0" w:color="auto"/>
        <w:left w:val="none" w:sz="0" w:space="0" w:color="auto"/>
        <w:bottom w:val="none" w:sz="0" w:space="0" w:color="auto"/>
        <w:right w:val="none" w:sz="0" w:space="0" w:color="auto"/>
      </w:divBdr>
    </w:div>
    <w:div w:id="682434165">
      <w:bodyDiv w:val="1"/>
      <w:marLeft w:val="0"/>
      <w:marRight w:val="0"/>
      <w:marTop w:val="0"/>
      <w:marBottom w:val="0"/>
      <w:divBdr>
        <w:top w:val="none" w:sz="0" w:space="0" w:color="auto"/>
        <w:left w:val="none" w:sz="0" w:space="0" w:color="auto"/>
        <w:bottom w:val="none" w:sz="0" w:space="0" w:color="auto"/>
        <w:right w:val="none" w:sz="0" w:space="0" w:color="auto"/>
      </w:divBdr>
    </w:div>
    <w:div w:id="695891578">
      <w:bodyDiv w:val="1"/>
      <w:marLeft w:val="0"/>
      <w:marRight w:val="0"/>
      <w:marTop w:val="0"/>
      <w:marBottom w:val="0"/>
      <w:divBdr>
        <w:top w:val="none" w:sz="0" w:space="0" w:color="auto"/>
        <w:left w:val="none" w:sz="0" w:space="0" w:color="auto"/>
        <w:bottom w:val="none" w:sz="0" w:space="0" w:color="auto"/>
        <w:right w:val="none" w:sz="0" w:space="0" w:color="auto"/>
      </w:divBdr>
      <w:divsChild>
        <w:div w:id="463470970">
          <w:marLeft w:val="0"/>
          <w:marRight w:val="0"/>
          <w:marTop w:val="0"/>
          <w:marBottom w:val="0"/>
          <w:divBdr>
            <w:top w:val="none" w:sz="0" w:space="0" w:color="auto"/>
            <w:left w:val="none" w:sz="0" w:space="0" w:color="auto"/>
            <w:bottom w:val="none" w:sz="0" w:space="0" w:color="auto"/>
            <w:right w:val="none" w:sz="0" w:space="0" w:color="auto"/>
          </w:divBdr>
          <w:divsChild>
            <w:div w:id="1104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7045">
      <w:bodyDiv w:val="1"/>
      <w:marLeft w:val="0"/>
      <w:marRight w:val="0"/>
      <w:marTop w:val="0"/>
      <w:marBottom w:val="0"/>
      <w:divBdr>
        <w:top w:val="none" w:sz="0" w:space="0" w:color="auto"/>
        <w:left w:val="none" w:sz="0" w:space="0" w:color="auto"/>
        <w:bottom w:val="none" w:sz="0" w:space="0" w:color="auto"/>
        <w:right w:val="none" w:sz="0" w:space="0" w:color="auto"/>
      </w:divBdr>
    </w:div>
    <w:div w:id="732000829">
      <w:bodyDiv w:val="1"/>
      <w:marLeft w:val="0"/>
      <w:marRight w:val="0"/>
      <w:marTop w:val="0"/>
      <w:marBottom w:val="0"/>
      <w:divBdr>
        <w:top w:val="none" w:sz="0" w:space="0" w:color="auto"/>
        <w:left w:val="none" w:sz="0" w:space="0" w:color="auto"/>
        <w:bottom w:val="none" w:sz="0" w:space="0" w:color="auto"/>
        <w:right w:val="none" w:sz="0" w:space="0" w:color="auto"/>
      </w:divBdr>
    </w:div>
    <w:div w:id="735592329">
      <w:bodyDiv w:val="1"/>
      <w:marLeft w:val="0"/>
      <w:marRight w:val="0"/>
      <w:marTop w:val="0"/>
      <w:marBottom w:val="0"/>
      <w:divBdr>
        <w:top w:val="none" w:sz="0" w:space="0" w:color="auto"/>
        <w:left w:val="none" w:sz="0" w:space="0" w:color="auto"/>
        <w:bottom w:val="none" w:sz="0" w:space="0" w:color="auto"/>
        <w:right w:val="none" w:sz="0" w:space="0" w:color="auto"/>
      </w:divBdr>
    </w:div>
    <w:div w:id="868878576">
      <w:bodyDiv w:val="1"/>
      <w:marLeft w:val="0"/>
      <w:marRight w:val="0"/>
      <w:marTop w:val="0"/>
      <w:marBottom w:val="0"/>
      <w:divBdr>
        <w:top w:val="none" w:sz="0" w:space="0" w:color="auto"/>
        <w:left w:val="none" w:sz="0" w:space="0" w:color="auto"/>
        <w:bottom w:val="none" w:sz="0" w:space="0" w:color="auto"/>
        <w:right w:val="none" w:sz="0" w:space="0" w:color="auto"/>
      </w:divBdr>
    </w:div>
    <w:div w:id="1138454847">
      <w:bodyDiv w:val="1"/>
      <w:marLeft w:val="0"/>
      <w:marRight w:val="0"/>
      <w:marTop w:val="0"/>
      <w:marBottom w:val="0"/>
      <w:divBdr>
        <w:top w:val="none" w:sz="0" w:space="0" w:color="auto"/>
        <w:left w:val="none" w:sz="0" w:space="0" w:color="auto"/>
        <w:bottom w:val="none" w:sz="0" w:space="0" w:color="auto"/>
        <w:right w:val="none" w:sz="0" w:space="0" w:color="auto"/>
      </w:divBdr>
    </w:div>
    <w:div w:id="1212038875">
      <w:bodyDiv w:val="1"/>
      <w:marLeft w:val="0"/>
      <w:marRight w:val="0"/>
      <w:marTop w:val="0"/>
      <w:marBottom w:val="0"/>
      <w:divBdr>
        <w:top w:val="none" w:sz="0" w:space="0" w:color="auto"/>
        <w:left w:val="none" w:sz="0" w:space="0" w:color="auto"/>
        <w:bottom w:val="none" w:sz="0" w:space="0" w:color="auto"/>
        <w:right w:val="none" w:sz="0" w:space="0" w:color="auto"/>
      </w:divBdr>
    </w:div>
    <w:div w:id="1243297876">
      <w:bodyDiv w:val="1"/>
      <w:marLeft w:val="0"/>
      <w:marRight w:val="0"/>
      <w:marTop w:val="0"/>
      <w:marBottom w:val="0"/>
      <w:divBdr>
        <w:top w:val="none" w:sz="0" w:space="0" w:color="auto"/>
        <w:left w:val="none" w:sz="0" w:space="0" w:color="auto"/>
        <w:bottom w:val="none" w:sz="0" w:space="0" w:color="auto"/>
        <w:right w:val="none" w:sz="0" w:space="0" w:color="auto"/>
      </w:divBdr>
    </w:div>
    <w:div w:id="1278558793">
      <w:bodyDiv w:val="1"/>
      <w:marLeft w:val="0"/>
      <w:marRight w:val="0"/>
      <w:marTop w:val="0"/>
      <w:marBottom w:val="0"/>
      <w:divBdr>
        <w:top w:val="none" w:sz="0" w:space="0" w:color="auto"/>
        <w:left w:val="none" w:sz="0" w:space="0" w:color="auto"/>
        <w:bottom w:val="none" w:sz="0" w:space="0" w:color="auto"/>
        <w:right w:val="none" w:sz="0" w:space="0" w:color="auto"/>
      </w:divBdr>
      <w:divsChild>
        <w:div w:id="1294023015">
          <w:marLeft w:val="0"/>
          <w:marRight w:val="0"/>
          <w:marTop w:val="0"/>
          <w:marBottom w:val="0"/>
          <w:divBdr>
            <w:top w:val="none" w:sz="0" w:space="0" w:color="auto"/>
            <w:left w:val="none" w:sz="0" w:space="0" w:color="auto"/>
            <w:bottom w:val="none" w:sz="0" w:space="0" w:color="auto"/>
            <w:right w:val="none" w:sz="0" w:space="0" w:color="auto"/>
          </w:divBdr>
          <w:divsChild>
            <w:div w:id="502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3035">
      <w:bodyDiv w:val="1"/>
      <w:marLeft w:val="0"/>
      <w:marRight w:val="0"/>
      <w:marTop w:val="0"/>
      <w:marBottom w:val="0"/>
      <w:divBdr>
        <w:top w:val="none" w:sz="0" w:space="0" w:color="auto"/>
        <w:left w:val="none" w:sz="0" w:space="0" w:color="auto"/>
        <w:bottom w:val="none" w:sz="0" w:space="0" w:color="auto"/>
        <w:right w:val="none" w:sz="0" w:space="0" w:color="auto"/>
      </w:divBdr>
    </w:div>
    <w:div w:id="1343363907">
      <w:bodyDiv w:val="1"/>
      <w:marLeft w:val="0"/>
      <w:marRight w:val="0"/>
      <w:marTop w:val="0"/>
      <w:marBottom w:val="0"/>
      <w:divBdr>
        <w:top w:val="none" w:sz="0" w:space="0" w:color="auto"/>
        <w:left w:val="none" w:sz="0" w:space="0" w:color="auto"/>
        <w:bottom w:val="none" w:sz="0" w:space="0" w:color="auto"/>
        <w:right w:val="none" w:sz="0" w:space="0" w:color="auto"/>
      </w:divBdr>
    </w:div>
    <w:div w:id="1375033444">
      <w:bodyDiv w:val="1"/>
      <w:marLeft w:val="0"/>
      <w:marRight w:val="0"/>
      <w:marTop w:val="0"/>
      <w:marBottom w:val="0"/>
      <w:divBdr>
        <w:top w:val="none" w:sz="0" w:space="0" w:color="auto"/>
        <w:left w:val="none" w:sz="0" w:space="0" w:color="auto"/>
        <w:bottom w:val="none" w:sz="0" w:space="0" w:color="auto"/>
        <w:right w:val="none" w:sz="0" w:space="0" w:color="auto"/>
      </w:divBdr>
    </w:div>
    <w:div w:id="1457792104">
      <w:bodyDiv w:val="1"/>
      <w:marLeft w:val="0"/>
      <w:marRight w:val="0"/>
      <w:marTop w:val="0"/>
      <w:marBottom w:val="0"/>
      <w:divBdr>
        <w:top w:val="none" w:sz="0" w:space="0" w:color="auto"/>
        <w:left w:val="none" w:sz="0" w:space="0" w:color="auto"/>
        <w:bottom w:val="none" w:sz="0" w:space="0" w:color="auto"/>
        <w:right w:val="none" w:sz="0" w:space="0" w:color="auto"/>
      </w:divBdr>
    </w:div>
    <w:div w:id="1587570824">
      <w:bodyDiv w:val="1"/>
      <w:marLeft w:val="0"/>
      <w:marRight w:val="0"/>
      <w:marTop w:val="0"/>
      <w:marBottom w:val="0"/>
      <w:divBdr>
        <w:top w:val="none" w:sz="0" w:space="0" w:color="auto"/>
        <w:left w:val="none" w:sz="0" w:space="0" w:color="auto"/>
        <w:bottom w:val="none" w:sz="0" w:space="0" w:color="auto"/>
        <w:right w:val="none" w:sz="0" w:space="0" w:color="auto"/>
      </w:divBdr>
    </w:div>
    <w:div w:id="1652522127">
      <w:bodyDiv w:val="1"/>
      <w:marLeft w:val="0"/>
      <w:marRight w:val="0"/>
      <w:marTop w:val="0"/>
      <w:marBottom w:val="0"/>
      <w:divBdr>
        <w:top w:val="none" w:sz="0" w:space="0" w:color="auto"/>
        <w:left w:val="none" w:sz="0" w:space="0" w:color="auto"/>
        <w:bottom w:val="none" w:sz="0" w:space="0" w:color="auto"/>
        <w:right w:val="none" w:sz="0" w:space="0" w:color="auto"/>
      </w:divBdr>
    </w:div>
    <w:div w:id="1760712463">
      <w:bodyDiv w:val="1"/>
      <w:marLeft w:val="0"/>
      <w:marRight w:val="0"/>
      <w:marTop w:val="0"/>
      <w:marBottom w:val="0"/>
      <w:divBdr>
        <w:top w:val="none" w:sz="0" w:space="0" w:color="auto"/>
        <w:left w:val="none" w:sz="0" w:space="0" w:color="auto"/>
        <w:bottom w:val="none" w:sz="0" w:space="0" w:color="auto"/>
        <w:right w:val="none" w:sz="0" w:space="0" w:color="auto"/>
      </w:divBdr>
    </w:div>
    <w:div w:id="1767919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2036</Words>
  <Characters>12342</Characters>
  <Application>Microsoft Office Word</Application>
  <DocSecurity>0</DocSecurity>
  <Lines>280</Lines>
  <Paragraphs>93</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Meyer, Denise</cp:lastModifiedBy>
  <cp:revision>3</cp:revision>
  <dcterms:created xsi:type="dcterms:W3CDTF">2025-12-16T17:46:00Z</dcterms:created>
  <dcterms:modified xsi:type="dcterms:W3CDTF">2026-02-17T11:44:00Z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LastSaved">
    <vt:filetime>2020-08-10T00:00:00Z</vt:filetime>
  </property>
</Properties>
</file>